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36" w:rsidRPr="00FE2AAB" w:rsidRDefault="00332560" w:rsidP="00E115E1">
      <w:pPr>
        <w:widowControl/>
        <w:rPr>
          <w:rFonts w:ascii="標楷體" w:eastAsia="標楷體" w:hAnsi="標楷體" w:cs="標楷體"/>
          <w:sz w:val="40"/>
          <w:szCs w:val="40"/>
        </w:rPr>
      </w:pPr>
      <w:bookmarkStart w:id="0" w:name="_GoBack"/>
      <w:proofErr w:type="gramStart"/>
      <w:r w:rsidRPr="00FE2AAB">
        <w:rPr>
          <w:rFonts w:ascii="標楷體" w:eastAsia="標楷體" w:hAnsi="標楷體" w:cs="標楷體" w:hint="eastAsia"/>
          <w:sz w:val="40"/>
          <w:szCs w:val="40"/>
        </w:rPr>
        <w:t>臺</w:t>
      </w:r>
      <w:proofErr w:type="gramEnd"/>
      <w:r w:rsidRPr="00FE2AAB">
        <w:rPr>
          <w:rFonts w:ascii="標楷體" w:eastAsia="標楷體" w:hAnsi="標楷體" w:cs="標楷體" w:hint="eastAsia"/>
          <w:sz w:val="40"/>
          <w:szCs w:val="40"/>
        </w:rPr>
        <w:t>中市政府委託技術服務採購契約品質缺失懲罰性違約金扣罰基準</w:t>
      </w:r>
      <w:bookmarkEnd w:id="0"/>
    </w:p>
    <w:p w:rsidR="00053888" w:rsidRPr="00FE2AAB" w:rsidRDefault="002A7F4A" w:rsidP="00053888">
      <w:pPr>
        <w:tabs>
          <w:tab w:val="left" w:pos="5245"/>
        </w:tabs>
        <w:jc w:val="right"/>
        <w:rPr>
          <w:rFonts w:ascii="標楷體" w:eastAsia="標楷體" w:hAnsi="標楷體"/>
          <w:sz w:val="20"/>
          <w:szCs w:val="20"/>
        </w:rPr>
      </w:pPr>
      <w:r w:rsidRPr="00FE2AAB">
        <w:rPr>
          <w:rFonts w:ascii="標楷體" w:eastAsia="標楷體" w:hAnsi="標楷體" w:hint="eastAsia"/>
          <w:sz w:val="20"/>
          <w:szCs w:val="20"/>
        </w:rPr>
        <w:t>104年</w:t>
      </w:r>
      <w:r w:rsidR="00A074F3">
        <w:rPr>
          <w:rFonts w:ascii="標楷體" w:eastAsia="標楷體" w:hAnsi="標楷體" w:hint="eastAsia"/>
          <w:sz w:val="20"/>
          <w:szCs w:val="20"/>
        </w:rPr>
        <w:t>12</w:t>
      </w:r>
      <w:r w:rsidRPr="00FE2AAB">
        <w:rPr>
          <w:rFonts w:ascii="標楷體" w:eastAsia="標楷體" w:hAnsi="標楷體" w:hint="eastAsia"/>
          <w:sz w:val="20"/>
          <w:szCs w:val="20"/>
        </w:rPr>
        <w:t>月</w:t>
      </w:r>
      <w:r w:rsidR="00A074F3">
        <w:rPr>
          <w:rFonts w:ascii="標楷體" w:eastAsia="標楷體" w:hAnsi="標楷體" w:hint="eastAsia"/>
          <w:sz w:val="20"/>
          <w:szCs w:val="20"/>
        </w:rPr>
        <w:t>23</w:t>
      </w:r>
      <w:r w:rsidRPr="00FE2AAB">
        <w:rPr>
          <w:rFonts w:ascii="標楷體" w:eastAsia="標楷體" w:hAnsi="標楷體" w:hint="eastAsia"/>
          <w:sz w:val="20"/>
          <w:szCs w:val="20"/>
        </w:rPr>
        <w:t>日</w:t>
      </w:r>
      <w:r w:rsidR="001D6AF9" w:rsidRPr="001D6AF9">
        <w:rPr>
          <w:rFonts w:ascii="標楷體" w:eastAsia="標楷體" w:hAnsi="標楷體" w:hint="eastAsia"/>
          <w:sz w:val="20"/>
          <w:szCs w:val="20"/>
        </w:rPr>
        <w:t>府授建品字第1040276952號</w:t>
      </w:r>
      <w:r w:rsidRPr="00FE2AAB">
        <w:rPr>
          <w:rFonts w:ascii="標楷體" w:eastAsia="標楷體" w:hAnsi="標楷體" w:hint="eastAsia"/>
          <w:sz w:val="20"/>
          <w:szCs w:val="20"/>
        </w:rPr>
        <w:t>訂定</w:t>
      </w:r>
    </w:p>
    <w:p w:rsidR="00142636" w:rsidRPr="00FE2AAB" w:rsidRDefault="00332560" w:rsidP="00277ECB">
      <w:pPr>
        <w:pStyle w:val="1"/>
        <w:numPr>
          <w:ilvl w:val="0"/>
          <w:numId w:val="5"/>
        </w:numPr>
        <w:tabs>
          <w:tab w:val="left" w:pos="1065"/>
          <w:tab w:val="center" w:pos="4153"/>
        </w:tabs>
        <w:spacing w:line="460" w:lineRule="exact"/>
        <w:ind w:leftChars="0"/>
        <w:jc w:val="both"/>
        <w:rPr>
          <w:rFonts w:ascii="標楷體" w:eastAsia="標楷體" w:hAnsi="標楷體" w:cs="Times New Roman"/>
          <w:sz w:val="28"/>
          <w:szCs w:val="28"/>
        </w:rPr>
      </w:pPr>
      <w:r w:rsidRPr="00FE2AAB">
        <w:rPr>
          <w:rFonts w:ascii="標楷體" w:eastAsia="標楷體" w:hAnsi="標楷體" w:hint="eastAsia"/>
          <w:sz w:val="28"/>
          <w:szCs w:val="28"/>
        </w:rPr>
        <w:tab/>
      </w:r>
      <w:proofErr w:type="gramStart"/>
      <w:r w:rsidR="00277ECB" w:rsidRPr="00FE2AAB">
        <w:rPr>
          <w:rFonts w:ascii="標楷體" w:eastAsia="標楷體" w:hAnsi="標楷體" w:hint="eastAsia"/>
          <w:sz w:val="28"/>
          <w:szCs w:val="28"/>
        </w:rPr>
        <w:t>臺</w:t>
      </w:r>
      <w:proofErr w:type="gramEnd"/>
      <w:r w:rsidR="00277ECB" w:rsidRPr="00FE2AAB">
        <w:rPr>
          <w:rFonts w:ascii="標楷體" w:eastAsia="標楷體" w:hAnsi="標楷體" w:hint="eastAsia"/>
          <w:sz w:val="28"/>
          <w:szCs w:val="28"/>
        </w:rPr>
        <w:t>中市政府為加強工程履約管理及提升委託技術服務品質，依工程施工查核小組品質缺失進行懲罰性違約金機制，對於委託技術服務契約採購案，廠商履約有缺失情形，以扣點方式處以懲罰性違約金，以落實委託技術服務品質管理，訂定本基準</w:t>
      </w:r>
      <w:r w:rsidR="000E37F0" w:rsidRPr="00FE2AAB">
        <w:rPr>
          <w:rFonts w:ascii="標楷體" w:eastAsia="標楷體" w:hAnsi="標楷體" w:cs="標楷體"/>
          <w:sz w:val="28"/>
          <w:szCs w:val="28"/>
        </w:rPr>
        <w:t>。</w:t>
      </w:r>
    </w:p>
    <w:p w:rsidR="00142636" w:rsidRPr="00FE2AAB" w:rsidRDefault="00182928" w:rsidP="00277ECB">
      <w:pPr>
        <w:pStyle w:val="1"/>
        <w:numPr>
          <w:ilvl w:val="0"/>
          <w:numId w:val="8"/>
        </w:numPr>
        <w:tabs>
          <w:tab w:val="left" w:pos="1065"/>
          <w:tab w:val="center" w:pos="4153"/>
        </w:tabs>
        <w:spacing w:line="460" w:lineRule="exact"/>
        <w:ind w:leftChars="0"/>
        <w:jc w:val="both"/>
        <w:rPr>
          <w:rFonts w:ascii="標楷體" w:eastAsia="標楷體" w:hAnsi="標楷體" w:cs="Times New Roman"/>
          <w:sz w:val="28"/>
          <w:szCs w:val="28"/>
        </w:rPr>
      </w:pPr>
      <w:r w:rsidRPr="00FE2AAB">
        <w:rPr>
          <w:rFonts w:ascii="標楷體" w:eastAsia="標楷體" w:hAnsi="標楷體" w:hint="eastAsia"/>
          <w:sz w:val="28"/>
          <w:szCs w:val="28"/>
        </w:rPr>
        <w:tab/>
      </w:r>
      <w:r w:rsidR="00277ECB" w:rsidRPr="00FE2AAB">
        <w:rPr>
          <w:rFonts w:ascii="標楷體" w:eastAsia="標楷體" w:hAnsi="標楷體" w:hint="eastAsia"/>
          <w:sz w:val="28"/>
          <w:szCs w:val="28"/>
        </w:rPr>
        <w:t>有關委託技術服務採購品質缺失事項之扣點表，詳如附表</w:t>
      </w:r>
      <w:r w:rsidR="00EB46F8" w:rsidRPr="00FE2AAB">
        <w:rPr>
          <w:rFonts w:ascii="標楷體" w:eastAsia="標楷體" w:hAnsi="標楷體" w:hint="eastAsia"/>
          <w:sz w:val="28"/>
          <w:szCs w:val="28"/>
        </w:rPr>
        <w:t>。</w:t>
      </w:r>
    </w:p>
    <w:p w:rsidR="00142636" w:rsidRPr="00FE2AAB" w:rsidRDefault="00E9384A" w:rsidP="00E9384A">
      <w:pPr>
        <w:pStyle w:val="1"/>
        <w:numPr>
          <w:ilvl w:val="0"/>
          <w:numId w:val="7"/>
        </w:numPr>
        <w:tabs>
          <w:tab w:val="left" w:pos="1065"/>
          <w:tab w:val="center" w:pos="4153"/>
        </w:tabs>
        <w:spacing w:line="460" w:lineRule="exact"/>
        <w:ind w:leftChars="0"/>
        <w:jc w:val="both"/>
        <w:rPr>
          <w:rFonts w:ascii="標楷體" w:eastAsia="標楷體" w:hAnsi="標楷體" w:cs="Times New Roman"/>
          <w:sz w:val="28"/>
          <w:szCs w:val="28"/>
        </w:rPr>
      </w:pPr>
      <w:r w:rsidRPr="00FE2AAB">
        <w:rPr>
          <w:rFonts w:ascii="標楷體" w:eastAsia="標楷體" w:hAnsi="標楷體" w:hint="eastAsia"/>
          <w:sz w:val="28"/>
          <w:szCs w:val="28"/>
        </w:rPr>
        <w:t>依</w:t>
      </w:r>
      <w:r w:rsidR="000D6CA7" w:rsidRPr="00FE2AAB">
        <w:rPr>
          <w:rFonts w:ascii="Times New Roman" w:eastAsia="標楷體" w:hAnsi="標楷體" w:cs="Times New Roman" w:hint="eastAsia"/>
          <w:sz w:val="28"/>
        </w:rPr>
        <w:t>本基準扣點之懲罰性違約金金額如下</w:t>
      </w:r>
      <w:r w:rsidR="005F0A3B" w:rsidRPr="00FE2AAB">
        <w:rPr>
          <w:rFonts w:ascii="標楷體" w:eastAsia="標楷體" w:hAnsi="標楷體"/>
          <w:sz w:val="28"/>
          <w:szCs w:val="28"/>
        </w:rPr>
        <w:t>：</w:t>
      </w:r>
    </w:p>
    <w:p w:rsidR="00142636" w:rsidRPr="00FE2AAB" w:rsidRDefault="005F0A3B" w:rsidP="004F163A">
      <w:pPr>
        <w:pStyle w:val="1"/>
        <w:numPr>
          <w:ilvl w:val="0"/>
          <w:numId w:val="9"/>
        </w:numPr>
        <w:adjustRightInd w:val="0"/>
        <w:snapToGrid w:val="0"/>
        <w:spacing w:line="460" w:lineRule="exact"/>
        <w:ind w:leftChars="0"/>
        <w:jc w:val="both"/>
        <w:rPr>
          <w:rFonts w:ascii="標楷體" w:eastAsia="標楷體" w:hAnsi="標楷體" w:cs="Times New Roman"/>
          <w:sz w:val="28"/>
          <w:szCs w:val="28"/>
        </w:rPr>
      </w:pPr>
      <w:r w:rsidRPr="00FE2AAB">
        <w:rPr>
          <w:rFonts w:ascii="標楷體" w:eastAsia="標楷體" w:hAnsi="標楷體"/>
          <w:sz w:val="28"/>
          <w:szCs w:val="28"/>
        </w:rPr>
        <w:t>巨額採購以上之工程採購，</w:t>
      </w:r>
      <w:r w:rsidRPr="00FE2AAB">
        <w:rPr>
          <w:rFonts w:ascii="標楷體" w:eastAsia="標楷體" w:hAnsi="標楷體" w:hint="eastAsia"/>
          <w:sz w:val="28"/>
          <w:szCs w:val="28"/>
        </w:rPr>
        <w:t>每點</w:t>
      </w:r>
      <w:r w:rsidRPr="00FE2AAB">
        <w:rPr>
          <w:rFonts w:ascii="標楷體" w:eastAsia="標楷體" w:hAnsi="標楷體"/>
          <w:sz w:val="28"/>
          <w:szCs w:val="28"/>
        </w:rPr>
        <w:t>新</w:t>
      </w:r>
      <w:r w:rsidRPr="00FE2AAB">
        <w:rPr>
          <w:rFonts w:ascii="標楷體" w:eastAsia="標楷體" w:hAnsi="標楷體" w:hint="eastAsia"/>
          <w:sz w:val="28"/>
          <w:szCs w:val="28"/>
        </w:rPr>
        <w:t>臺</w:t>
      </w:r>
      <w:r w:rsidRPr="00FE2AAB">
        <w:rPr>
          <w:rFonts w:ascii="標楷體" w:eastAsia="標楷體" w:hAnsi="標楷體"/>
          <w:sz w:val="28"/>
          <w:szCs w:val="28"/>
        </w:rPr>
        <w:t>幣</w:t>
      </w:r>
      <w:r w:rsidR="0062389D" w:rsidRPr="00FE2AAB">
        <w:rPr>
          <w:rFonts w:ascii="標楷體" w:eastAsia="標楷體" w:hAnsi="標楷體" w:hint="eastAsia"/>
          <w:sz w:val="28"/>
          <w:szCs w:val="28"/>
        </w:rPr>
        <w:t>二</w:t>
      </w:r>
      <w:r w:rsidRPr="00FE2AAB">
        <w:rPr>
          <w:rFonts w:ascii="標楷體" w:eastAsia="標楷體" w:hAnsi="標楷體" w:hint="eastAsia"/>
          <w:sz w:val="28"/>
          <w:szCs w:val="28"/>
        </w:rPr>
        <w:t>千</w:t>
      </w:r>
      <w:r w:rsidRPr="00FE2AAB">
        <w:rPr>
          <w:rFonts w:ascii="標楷體" w:eastAsia="標楷體" w:hAnsi="標楷體"/>
          <w:sz w:val="28"/>
          <w:szCs w:val="28"/>
        </w:rPr>
        <w:t>元</w:t>
      </w:r>
      <w:r w:rsidR="00142636" w:rsidRPr="00FE2AAB">
        <w:rPr>
          <w:rFonts w:ascii="標楷體" w:eastAsia="標楷體" w:hAnsi="標楷體" w:cs="標楷體" w:hint="eastAsia"/>
          <w:sz w:val="28"/>
          <w:szCs w:val="28"/>
        </w:rPr>
        <w:t>。</w:t>
      </w:r>
    </w:p>
    <w:p w:rsidR="00142636" w:rsidRPr="00FE2AAB" w:rsidRDefault="005F0A3B" w:rsidP="004F163A">
      <w:pPr>
        <w:pStyle w:val="1"/>
        <w:numPr>
          <w:ilvl w:val="0"/>
          <w:numId w:val="9"/>
        </w:numPr>
        <w:adjustRightInd w:val="0"/>
        <w:snapToGrid w:val="0"/>
        <w:spacing w:line="460" w:lineRule="exact"/>
        <w:ind w:leftChars="0"/>
        <w:jc w:val="both"/>
        <w:rPr>
          <w:rFonts w:ascii="標楷體" w:eastAsia="標楷體" w:hAnsi="標楷體" w:cs="Times New Roman"/>
          <w:sz w:val="28"/>
          <w:szCs w:val="28"/>
        </w:rPr>
      </w:pPr>
      <w:r w:rsidRPr="00FE2AAB">
        <w:rPr>
          <w:rFonts w:ascii="標楷體" w:eastAsia="標楷體" w:hAnsi="標楷體"/>
          <w:sz w:val="28"/>
          <w:szCs w:val="28"/>
        </w:rPr>
        <w:t>查核金額以上未達巨額採購之工程採購，</w:t>
      </w:r>
      <w:r w:rsidRPr="00FE2AAB">
        <w:rPr>
          <w:rFonts w:ascii="標楷體" w:eastAsia="標楷體" w:hAnsi="標楷體" w:hint="eastAsia"/>
          <w:sz w:val="28"/>
          <w:szCs w:val="28"/>
        </w:rPr>
        <w:t>每點</w:t>
      </w:r>
      <w:r w:rsidRPr="00FE2AAB">
        <w:rPr>
          <w:rFonts w:ascii="標楷體" w:eastAsia="標楷體" w:hAnsi="標楷體"/>
          <w:sz w:val="28"/>
          <w:szCs w:val="28"/>
        </w:rPr>
        <w:t>新</w:t>
      </w:r>
      <w:r w:rsidRPr="00FE2AAB">
        <w:rPr>
          <w:rFonts w:ascii="標楷體" w:eastAsia="標楷體" w:hAnsi="標楷體" w:hint="eastAsia"/>
          <w:sz w:val="28"/>
          <w:szCs w:val="28"/>
        </w:rPr>
        <w:t>臺</w:t>
      </w:r>
      <w:r w:rsidRPr="00FE2AAB">
        <w:rPr>
          <w:rFonts w:ascii="標楷體" w:eastAsia="標楷體" w:hAnsi="標楷體"/>
          <w:sz w:val="28"/>
          <w:szCs w:val="28"/>
        </w:rPr>
        <w:t>幣</w:t>
      </w:r>
      <w:r w:rsidR="0062389D" w:rsidRPr="00FE2AAB">
        <w:rPr>
          <w:rFonts w:ascii="標楷體" w:eastAsia="標楷體" w:hAnsi="標楷體" w:hint="eastAsia"/>
          <w:sz w:val="28"/>
          <w:szCs w:val="28"/>
        </w:rPr>
        <w:t>一</w:t>
      </w:r>
      <w:r w:rsidRPr="00FE2AAB">
        <w:rPr>
          <w:rFonts w:ascii="標楷體" w:eastAsia="標楷體" w:hAnsi="標楷體" w:hint="eastAsia"/>
          <w:sz w:val="28"/>
          <w:szCs w:val="28"/>
        </w:rPr>
        <w:t>千</w:t>
      </w:r>
      <w:r w:rsidRPr="00FE2AAB">
        <w:rPr>
          <w:rFonts w:ascii="標楷體" w:eastAsia="標楷體" w:hAnsi="標楷體"/>
          <w:sz w:val="28"/>
          <w:szCs w:val="28"/>
        </w:rPr>
        <w:t>元</w:t>
      </w:r>
      <w:r w:rsidR="00142636" w:rsidRPr="00FE2AAB">
        <w:rPr>
          <w:rFonts w:ascii="標楷體" w:eastAsia="標楷體" w:hAnsi="標楷體" w:cs="標楷體" w:hint="eastAsia"/>
          <w:sz w:val="28"/>
          <w:szCs w:val="28"/>
        </w:rPr>
        <w:t>。</w:t>
      </w:r>
    </w:p>
    <w:p w:rsidR="00142636" w:rsidRPr="00FE2AAB" w:rsidRDefault="005F0A3B" w:rsidP="004F163A">
      <w:pPr>
        <w:pStyle w:val="1"/>
        <w:numPr>
          <w:ilvl w:val="0"/>
          <w:numId w:val="9"/>
        </w:numPr>
        <w:adjustRightInd w:val="0"/>
        <w:snapToGrid w:val="0"/>
        <w:spacing w:line="460" w:lineRule="exact"/>
        <w:ind w:leftChars="0"/>
        <w:jc w:val="both"/>
        <w:rPr>
          <w:rFonts w:ascii="標楷體" w:eastAsia="標楷體" w:hAnsi="標楷體" w:cs="Times New Roman"/>
          <w:sz w:val="28"/>
          <w:szCs w:val="28"/>
        </w:rPr>
      </w:pPr>
      <w:r w:rsidRPr="00FE2AAB">
        <w:rPr>
          <w:rFonts w:ascii="標楷體" w:eastAsia="標楷體" w:hAnsi="標楷體" w:hint="eastAsia"/>
          <w:sz w:val="28"/>
          <w:szCs w:val="28"/>
        </w:rPr>
        <w:t>一千</w:t>
      </w:r>
      <w:r w:rsidRPr="00FE2AAB">
        <w:rPr>
          <w:rFonts w:ascii="標楷體" w:eastAsia="標楷體" w:hAnsi="標楷體"/>
          <w:sz w:val="28"/>
          <w:szCs w:val="28"/>
        </w:rPr>
        <w:t>萬元以上未達查核金額之工程採購，</w:t>
      </w:r>
      <w:r w:rsidRPr="00FE2AAB">
        <w:rPr>
          <w:rFonts w:ascii="標楷體" w:eastAsia="標楷體" w:hAnsi="標楷體" w:hint="eastAsia"/>
          <w:sz w:val="28"/>
          <w:szCs w:val="28"/>
        </w:rPr>
        <w:t>每點</w:t>
      </w:r>
      <w:r w:rsidRPr="00FE2AAB">
        <w:rPr>
          <w:rFonts w:ascii="標楷體" w:eastAsia="標楷體" w:hAnsi="標楷體"/>
          <w:sz w:val="28"/>
          <w:szCs w:val="28"/>
        </w:rPr>
        <w:t>新</w:t>
      </w:r>
      <w:r w:rsidRPr="00FE2AAB">
        <w:rPr>
          <w:rFonts w:ascii="標楷體" w:eastAsia="標楷體" w:hAnsi="標楷體" w:hint="eastAsia"/>
          <w:sz w:val="28"/>
          <w:szCs w:val="28"/>
        </w:rPr>
        <w:t>臺</w:t>
      </w:r>
      <w:r w:rsidRPr="00FE2AAB">
        <w:rPr>
          <w:rFonts w:ascii="標楷體" w:eastAsia="標楷體" w:hAnsi="標楷體"/>
          <w:sz w:val="28"/>
          <w:szCs w:val="28"/>
        </w:rPr>
        <w:t>幣</w:t>
      </w:r>
      <w:r w:rsidR="0062389D" w:rsidRPr="00FE2AAB">
        <w:rPr>
          <w:rFonts w:ascii="標楷體" w:eastAsia="標楷體" w:hAnsi="標楷體" w:hint="eastAsia"/>
          <w:sz w:val="28"/>
          <w:szCs w:val="28"/>
        </w:rPr>
        <w:t>五百</w:t>
      </w:r>
      <w:r w:rsidRPr="00FE2AAB">
        <w:rPr>
          <w:rFonts w:ascii="標楷體" w:eastAsia="標楷體" w:hAnsi="標楷體"/>
          <w:sz w:val="28"/>
          <w:szCs w:val="28"/>
        </w:rPr>
        <w:t>元</w:t>
      </w:r>
      <w:r w:rsidR="00142636" w:rsidRPr="00FE2AAB">
        <w:rPr>
          <w:rFonts w:ascii="標楷體" w:eastAsia="標楷體" w:hAnsi="標楷體" w:cs="標楷體" w:hint="eastAsia"/>
          <w:sz w:val="28"/>
          <w:szCs w:val="28"/>
        </w:rPr>
        <w:t>。</w:t>
      </w:r>
    </w:p>
    <w:p w:rsidR="005F0A3B" w:rsidRPr="00FE2AAB" w:rsidRDefault="005F0A3B" w:rsidP="004F163A">
      <w:pPr>
        <w:pStyle w:val="1"/>
        <w:numPr>
          <w:ilvl w:val="0"/>
          <w:numId w:val="9"/>
        </w:numPr>
        <w:adjustRightInd w:val="0"/>
        <w:snapToGrid w:val="0"/>
        <w:spacing w:line="460" w:lineRule="exact"/>
        <w:ind w:leftChars="0"/>
        <w:jc w:val="both"/>
        <w:rPr>
          <w:rFonts w:ascii="標楷體" w:eastAsia="標楷體" w:hAnsi="標楷體" w:cs="Times New Roman"/>
          <w:sz w:val="28"/>
          <w:szCs w:val="28"/>
        </w:rPr>
      </w:pPr>
      <w:r w:rsidRPr="00FE2AAB">
        <w:rPr>
          <w:rFonts w:ascii="標楷體" w:eastAsia="標楷體" w:hAnsi="標楷體"/>
          <w:sz w:val="28"/>
          <w:szCs w:val="28"/>
        </w:rPr>
        <w:t>未達</w:t>
      </w:r>
      <w:r w:rsidRPr="00FE2AAB">
        <w:rPr>
          <w:rFonts w:ascii="標楷體" w:eastAsia="標楷體" w:hAnsi="標楷體" w:hint="eastAsia"/>
          <w:sz w:val="28"/>
          <w:szCs w:val="28"/>
        </w:rPr>
        <w:t>一千</w:t>
      </w:r>
      <w:r w:rsidRPr="00FE2AAB">
        <w:rPr>
          <w:rFonts w:ascii="標楷體" w:eastAsia="標楷體" w:hAnsi="標楷體"/>
          <w:sz w:val="28"/>
          <w:szCs w:val="28"/>
        </w:rPr>
        <w:t>萬元之工程採購，</w:t>
      </w:r>
      <w:r w:rsidRPr="00FE2AAB">
        <w:rPr>
          <w:rFonts w:ascii="標楷體" w:eastAsia="標楷體" w:hAnsi="標楷體" w:hint="eastAsia"/>
          <w:sz w:val="28"/>
          <w:szCs w:val="28"/>
        </w:rPr>
        <w:t>每點</w:t>
      </w:r>
      <w:r w:rsidRPr="00FE2AAB">
        <w:rPr>
          <w:rFonts w:ascii="標楷體" w:eastAsia="標楷體" w:hAnsi="標楷體"/>
          <w:sz w:val="28"/>
          <w:szCs w:val="28"/>
        </w:rPr>
        <w:t>新</w:t>
      </w:r>
      <w:r w:rsidRPr="00FE2AAB">
        <w:rPr>
          <w:rFonts w:ascii="標楷體" w:eastAsia="標楷體" w:hAnsi="標楷體" w:hint="eastAsia"/>
          <w:sz w:val="28"/>
          <w:szCs w:val="28"/>
        </w:rPr>
        <w:t>臺</w:t>
      </w:r>
      <w:r w:rsidRPr="00FE2AAB">
        <w:rPr>
          <w:rFonts w:ascii="標楷體" w:eastAsia="標楷體" w:hAnsi="標楷體"/>
          <w:sz w:val="28"/>
          <w:szCs w:val="28"/>
        </w:rPr>
        <w:t>幣</w:t>
      </w:r>
      <w:r w:rsidR="0062389D" w:rsidRPr="00FE2AAB">
        <w:rPr>
          <w:rFonts w:ascii="標楷體" w:eastAsia="標楷體" w:hAnsi="標楷體" w:hint="eastAsia"/>
          <w:sz w:val="28"/>
          <w:szCs w:val="28"/>
        </w:rPr>
        <w:t>二</w:t>
      </w:r>
      <w:r w:rsidRPr="00FE2AAB">
        <w:rPr>
          <w:rFonts w:ascii="標楷體" w:eastAsia="標楷體" w:hAnsi="標楷體" w:hint="eastAsia"/>
          <w:sz w:val="28"/>
          <w:szCs w:val="28"/>
        </w:rPr>
        <w:t>百</w:t>
      </w:r>
      <w:r w:rsidR="0062389D" w:rsidRPr="00FE2AAB">
        <w:rPr>
          <w:rFonts w:ascii="標楷體" w:eastAsia="標楷體" w:hAnsi="標楷體" w:hint="eastAsia"/>
          <w:sz w:val="28"/>
          <w:szCs w:val="28"/>
        </w:rPr>
        <w:t>五十</w:t>
      </w:r>
      <w:r w:rsidRPr="00FE2AAB">
        <w:rPr>
          <w:rFonts w:ascii="標楷體" w:eastAsia="標楷體" w:hAnsi="標楷體"/>
          <w:sz w:val="28"/>
          <w:szCs w:val="28"/>
        </w:rPr>
        <w:t>元</w:t>
      </w:r>
      <w:r w:rsidRPr="00FE2AAB">
        <w:rPr>
          <w:rFonts w:ascii="標楷體" w:eastAsia="標楷體" w:hAnsi="標楷體" w:hint="eastAsia"/>
          <w:sz w:val="28"/>
          <w:szCs w:val="28"/>
        </w:rPr>
        <w:t>。</w:t>
      </w:r>
    </w:p>
    <w:p w:rsidR="00142636" w:rsidRPr="00FE2AAB" w:rsidRDefault="005F0A3B" w:rsidP="004F163A">
      <w:pPr>
        <w:pStyle w:val="1"/>
        <w:numPr>
          <w:ilvl w:val="0"/>
          <w:numId w:val="5"/>
        </w:numPr>
        <w:tabs>
          <w:tab w:val="left" w:pos="1065"/>
          <w:tab w:val="center" w:pos="4153"/>
        </w:tabs>
        <w:spacing w:line="460" w:lineRule="exact"/>
        <w:ind w:leftChars="0"/>
        <w:jc w:val="both"/>
        <w:rPr>
          <w:rFonts w:ascii="標楷體" w:eastAsia="標楷體" w:hAnsi="標楷體" w:cs="Times New Roman"/>
          <w:sz w:val="28"/>
          <w:szCs w:val="28"/>
        </w:rPr>
      </w:pPr>
      <w:r w:rsidRPr="00FE2AAB">
        <w:rPr>
          <w:rFonts w:ascii="標楷體" w:eastAsia="標楷體" w:hAnsi="標楷體" w:hint="eastAsia"/>
          <w:sz w:val="28"/>
          <w:szCs w:val="28"/>
        </w:rPr>
        <w:t>工程主辦機關</w:t>
      </w:r>
      <w:r w:rsidRPr="00FE2AAB">
        <w:rPr>
          <w:rFonts w:ascii="標楷體" w:eastAsia="標楷體" w:hAnsi="標楷體"/>
          <w:sz w:val="28"/>
          <w:szCs w:val="28"/>
        </w:rPr>
        <w:t>發現</w:t>
      </w:r>
      <w:r w:rsidRPr="00FE2AAB">
        <w:rPr>
          <w:rFonts w:ascii="標楷體" w:eastAsia="標楷體" w:hAnsi="標楷體" w:hint="eastAsia"/>
          <w:sz w:val="28"/>
          <w:szCs w:val="28"/>
        </w:rPr>
        <w:t>委託技術服務廠商，</w:t>
      </w:r>
      <w:r w:rsidRPr="00FE2AAB">
        <w:rPr>
          <w:rFonts w:ascii="標楷體" w:eastAsia="標楷體" w:hAnsi="標楷體"/>
          <w:sz w:val="28"/>
          <w:szCs w:val="28"/>
        </w:rPr>
        <w:t>有</w:t>
      </w:r>
      <w:r w:rsidR="00266E2A" w:rsidRPr="00FE2AAB">
        <w:rPr>
          <w:rFonts w:ascii="標楷體" w:eastAsia="標楷體" w:hAnsi="標楷體" w:hint="eastAsia"/>
          <w:sz w:val="28"/>
          <w:szCs w:val="28"/>
        </w:rPr>
        <w:t>附</w:t>
      </w:r>
      <w:r w:rsidRPr="00FE2AAB">
        <w:rPr>
          <w:rFonts w:ascii="標楷體" w:eastAsia="標楷體" w:hAnsi="標楷體"/>
          <w:sz w:val="28"/>
          <w:szCs w:val="28"/>
        </w:rPr>
        <w:t>表所列舉</w:t>
      </w:r>
      <w:r w:rsidRPr="00FE2AAB">
        <w:rPr>
          <w:rFonts w:ascii="標楷體" w:eastAsia="標楷體" w:hAnsi="標楷體" w:hint="eastAsia"/>
          <w:sz w:val="28"/>
          <w:szCs w:val="28"/>
        </w:rPr>
        <w:t>缺失</w:t>
      </w:r>
      <w:r w:rsidRPr="00FE2AAB">
        <w:rPr>
          <w:rFonts w:ascii="標楷體" w:eastAsia="標楷體" w:hAnsi="標楷體"/>
          <w:sz w:val="28"/>
          <w:szCs w:val="28"/>
        </w:rPr>
        <w:t>情形</w:t>
      </w:r>
      <w:r w:rsidRPr="00FE2AAB">
        <w:rPr>
          <w:rFonts w:ascii="標楷體" w:eastAsia="標楷體" w:hAnsi="標楷體" w:hint="eastAsia"/>
          <w:sz w:val="28"/>
          <w:szCs w:val="28"/>
        </w:rPr>
        <w:t>，應依本基準扣罰，並</w:t>
      </w:r>
      <w:r w:rsidRPr="00FE2AAB">
        <w:rPr>
          <w:rFonts w:ascii="標楷體" w:eastAsia="標楷體" w:hAnsi="標楷體"/>
          <w:sz w:val="28"/>
          <w:szCs w:val="28"/>
        </w:rPr>
        <w:t>於應付價金中扣抵；如有不足者，得通知廠商自保證金</w:t>
      </w:r>
      <w:r w:rsidRPr="00FE2AAB">
        <w:rPr>
          <w:rFonts w:ascii="標楷體" w:eastAsia="標楷體" w:hAnsi="標楷體" w:hint="eastAsia"/>
          <w:sz w:val="28"/>
          <w:szCs w:val="28"/>
        </w:rPr>
        <w:t>中</w:t>
      </w:r>
      <w:r w:rsidRPr="00FE2AAB">
        <w:rPr>
          <w:rFonts w:ascii="標楷體" w:eastAsia="標楷體" w:hAnsi="標楷體"/>
          <w:sz w:val="28"/>
          <w:szCs w:val="28"/>
        </w:rPr>
        <w:t>扣抵</w:t>
      </w:r>
      <w:r w:rsidRPr="00FE2AAB">
        <w:rPr>
          <w:rFonts w:ascii="標楷體" w:eastAsia="標楷體" w:hAnsi="標楷體" w:hint="eastAsia"/>
          <w:sz w:val="28"/>
          <w:szCs w:val="28"/>
        </w:rPr>
        <w:t>。</w:t>
      </w:r>
    </w:p>
    <w:p w:rsidR="00A95BE6" w:rsidRPr="00FE2AAB" w:rsidRDefault="005F0A3B" w:rsidP="00A95BE6">
      <w:pPr>
        <w:numPr>
          <w:ilvl w:val="0"/>
          <w:numId w:val="19"/>
        </w:numPr>
        <w:tabs>
          <w:tab w:val="clear" w:pos="480"/>
          <w:tab w:val="num" w:pos="574"/>
        </w:tabs>
        <w:adjustRightInd w:val="0"/>
        <w:snapToGrid w:val="0"/>
        <w:spacing w:line="460" w:lineRule="exact"/>
        <w:ind w:left="567" w:hanging="567"/>
        <w:jc w:val="both"/>
        <w:rPr>
          <w:rFonts w:ascii="標楷體" w:eastAsia="標楷體" w:hAnsi="標楷體" w:cs="Times New Roman"/>
          <w:sz w:val="28"/>
          <w:szCs w:val="28"/>
        </w:rPr>
      </w:pPr>
      <w:r w:rsidRPr="00FE2AAB">
        <w:rPr>
          <w:rFonts w:ascii="標楷體" w:eastAsia="標楷體" w:hAnsi="標楷體" w:hint="eastAsia"/>
          <w:sz w:val="28"/>
          <w:szCs w:val="28"/>
        </w:rPr>
        <w:t>依本基準處以</w:t>
      </w:r>
      <w:r w:rsidRPr="00FE2AAB">
        <w:rPr>
          <w:rFonts w:ascii="標楷體" w:eastAsia="標楷體" w:hAnsi="標楷體"/>
          <w:sz w:val="28"/>
          <w:szCs w:val="28"/>
        </w:rPr>
        <w:t>懲罰性違約金，</w:t>
      </w:r>
      <w:r w:rsidRPr="00FE2AAB">
        <w:rPr>
          <w:rFonts w:ascii="標楷體" w:eastAsia="標楷體" w:hAnsi="標楷體" w:hint="eastAsia"/>
          <w:sz w:val="28"/>
          <w:szCs w:val="28"/>
        </w:rPr>
        <w:t>以</w:t>
      </w:r>
      <w:r w:rsidRPr="00FE2AAB">
        <w:rPr>
          <w:rFonts w:ascii="標楷體" w:eastAsia="標楷體" w:hAnsi="標楷體"/>
          <w:sz w:val="28"/>
          <w:szCs w:val="28"/>
        </w:rPr>
        <w:t>契約</w:t>
      </w:r>
      <w:r w:rsidRPr="00FE2AAB">
        <w:rPr>
          <w:rFonts w:ascii="標楷體" w:eastAsia="標楷體" w:hAnsi="標楷體" w:hint="eastAsia"/>
          <w:sz w:val="28"/>
          <w:szCs w:val="28"/>
        </w:rPr>
        <w:t>價金</w:t>
      </w:r>
      <w:r w:rsidRPr="00FE2AAB">
        <w:rPr>
          <w:rFonts w:ascii="標楷體" w:eastAsia="標楷體" w:hAnsi="標楷體"/>
          <w:sz w:val="28"/>
          <w:szCs w:val="28"/>
        </w:rPr>
        <w:t>總額</w:t>
      </w:r>
      <w:r w:rsidRPr="00FE2AAB">
        <w:rPr>
          <w:rFonts w:ascii="標楷體" w:eastAsia="標楷體" w:hAnsi="標楷體" w:hint="eastAsia"/>
          <w:sz w:val="28"/>
          <w:szCs w:val="28"/>
        </w:rPr>
        <w:t>百分之二十為</w:t>
      </w:r>
      <w:r w:rsidRPr="00FE2AAB">
        <w:rPr>
          <w:rFonts w:ascii="標楷體" w:eastAsia="標楷體" w:hAnsi="標楷體"/>
          <w:sz w:val="28"/>
          <w:szCs w:val="28"/>
        </w:rPr>
        <w:t>限</w:t>
      </w:r>
      <w:r w:rsidR="00A95BE6" w:rsidRPr="00FE2AAB">
        <w:rPr>
          <w:rFonts w:ascii="標楷體" w:eastAsia="標楷體" w:hAnsi="標楷體" w:cs="標楷體" w:hint="eastAsia"/>
          <w:sz w:val="28"/>
          <w:szCs w:val="28"/>
        </w:rPr>
        <w:t>。</w:t>
      </w:r>
    </w:p>
    <w:p w:rsidR="00142636" w:rsidRPr="00FE2AAB" w:rsidRDefault="00C57146" w:rsidP="00A95BE6">
      <w:pPr>
        <w:numPr>
          <w:ilvl w:val="0"/>
          <w:numId w:val="19"/>
        </w:numPr>
        <w:tabs>
          <w:tab w:val="clear" w:pos="480"/>
          <w:tab w:val="num" w:pos="574"/>
        </w:tabs>
        <w:adjustRightInd w:val="0"/>
        <w:snapToGrid w:val="0"/>
        <w:spacing w:line="460" w:lineRule="exact"/>
        <w:ind w:left="567" w:hanging="567"/>
        <w:jc w:val="both"/>
        <w:rPr>
          <w:rFonts w:ascii="標楷體" w:eastAsia="標楷體" w:hAnsi="標楷體" w:cs="Times New Roman"/>
          <w:sz w:val="28"/>
          <w:szCs w:val="28"/>
        </w:rPr>
      </w:pPr>
      <w:r w:rsidRPr="00FE2AAB">
        <w:rPr>
          <w:rFonts w:ascii="標楷體" w:eastAsia="標楷體" w:hAnsi="標楷體" w:hint="eastAsia"/>
          <w:sz w:val="28"/>
          <w:szCs w:val="28"/>
        </w:rPr>
        <w:t>工程</w:t>
      </w:r>
      <w:r w:rsidR="000D6CA7" w:rsidRPr="00FE2AAB">
        <w:rPr>
          <w:rFonts w:ascii="Times New Roman" w:eastAsia="標楷體" w:hAnsi="標楷體" w:cs="Times New Roman" w:hint="eastAsia"/>
          <w:sz w:val="28"/>
        </w:rPr>
        <w:t>主辦機關依公共工程施工品質管理作業要點第十五點規定辦理督導工作發現委託技術服務有缺失時，應依工程施工查核小組查核品質缺失扣點紀錄表之項目進行扣點，工程主辦機關並應留存督導紀錄備查，每點懲罰性違約金金額</w:t>
      </w:r>
      <w:proofErr w:type="gramStart"/>
      <w:r w:rsidR="000D6CA7" w:rsidRPr="00FE2AAB">
        <w:rPr>
          <w:rFonts w:ascii="Times New Roman" w:eastAsia="標楷體" w:hAnsi="標楷體" w:cs="Times New Roman" w:hint="eastAsia"/>
          <w:sz w:val="28"/>
        </w:rPr>
        <w:t>準</w:t>
      </w:r>
      <w:proofErr w:type="gramEnd"/>
      <w:r w:rsidR="000D6CA7" w:rsidRPr="00FE2AAB">
        <w:rPr>
          <w:rFonts w:ascii="Times New Roman" w:eastAsia="標楷體" w:hAnsi="標楷體" w:cs="Times New Roman" w:hint="eastAsia"/>
          <w:sz w:val="28"/>
        </w:rPr>
        <w:t>用本基準第三點規定辦理</w:t>
      </w:r>
      <w:r w:rsidR="009500C8" w:rsidRPr="00FE2AAB">
        <w:rPr>
          <w:rFonts w:ascii="標楷體" w:eastAsia="標楷體" w:hAnsi="標楷體" w:cs="標楷體"/>
          <w:sz w:val="28"/>
          <w:szCs w:val="28"/>
        </w:rPr>
        <w:t>。</w:t>
      </w:r>
    </w:p>
    <w:p w:rsidR="009500C8" w:rsidRPr="00FE2AAB" w:rsidRDefault="00C57146" w:rsidP="009500C8">
      <w:pPr>
        <w:numPr>
          <w:ilvl w:val="0"/>
          <w:numId w:val="19"/>
        </w:numPr>
        <w:tabs>
          <w:tab w:val="clear" w:pos="480"/>
          <w:tab w:val="num" w:pos="574"/>
        </w:tabs>
        <w:adjustRightInd w:val="0"/>
        <w:snapToGrid w:val="0"/>
        <w:spacing w:line="460" w:lineRule="exact"/>
        <w:ind w:left="567" w:hanging="567"/>
        <w:jc w:val="both"/>
        <w:rPr>
          <w:rFonts w:ascii="標楷體" w:eastAsia="標楷體" w:hAnsi="標楷體" w:cs="標楷體"/>
          <w:sz w:val="28"/>
          <w:szCs w:val="28"/>
        </w:rPr>
      </w:pPr>
      <w:r w:rsidRPr="00FE2AAB">
        <w:rPr>
          <w:rFonts w:ascii="標楷體" w:eastAsia="標楷體" w:hAnsi="標楷體" w:hint="eastAsia"/>
          <w:sz w:val="28"/>
          <w:szCs w:val="28"/>
        </w:rPr>
        <w:t>工程主辦機關</w:t>
      </w:r>
      <w:r w:rsidR="005F0A3B" w:rsidRPr="00FE2AAB">
        <w:rPr>
          <w:rFonts w:ascii="標楷體" w:eastAsia="標楷體" w:hAnsi="標楷體" w:hint="eastAsia"/>
          <w:sz w:val="28"/>
          <w:szCs w:val="28"/>
        </w:rPr>
        <w:t>辦理委託技術服務採購時，應將</w:t>
      </w:r>
      <w:r w:rsidR="005F0A3B" w:rsidRPr="00FE2AAB">
        <w:rPr>
          <w:rFonts w:ascii="標楷體" w:eastAsia="標楷體" w:hAnsi="標楷體"/>
          <w:sz w:val="28"/>
          <w:szCs w:val="28"/>
        </w:rPr>
        <w:t>本</w:t>
      </w:r>
      <w:r w:rsidR="005F0A3B" w:rsidRPr="00FE2AAB">
        <w:rPr>
          <w:rFonts w:ascii="標楷體" w:eastAsia="標楷體" w:hAnsi="標楷體" w:hint="eastAsia"/>
          <w:sz w:val="28"/>
          <w:szCs w:val="28"/>
        </w:rPr>
        <w:t>基準附入採購契約中，除契約另有較重扣罰規定外，應依本基準辦理</w:t>
      </w:r>
      <w:r w:rsidR="009500C8" w:rsidRPr="00FE2AAB">
        <w:rPr>
          <w:rFonts w:ascii="標楷體" w:eastAsia="標楷體" w:hAnsi="標楷體" w:cs="標楷體"/>
          <w:sz w:val="28"/>
          <w:szCs w:val="28"/>
        </w:rPr>
        <w:t>。</w:t>
      </w:r>
    </w:p>
    <w:p w:rsidR="005F0A3B" w:rsidRPr="00FE2AAB" w:rsidRDefault="005F0A3B" w:rsidP="005F0A3B">
      <w:pPr>
        <w:numPr>
          <w:ilvl w:val="0"/>
          <w:numId w:val="30"/>
        </w:numPr>
        <w:tabs>
          <w:tab w:val="clear" w:pos="480"/>
          <w:tab w:val="num" w:pos="-1260"/>
          <w:tab w:val="num" w:pos="574"/>
        </w:tabs>
        <w:adjustRightInd w:val="0"/>
        <w:spacing w:line="460" w:lineRule="exact"/>
        <w:ind w:left="574" w:hanging="574"/>
        <w:jc w:val="both"/>
        <w:rPr>
          <w:rFonts w:ascii="標楷體" w:eastAsia="標楷體" w:hAnsi="標楷體" w:cs="Times New Roman"/>
          <w:sz w:val="28"/>
          <w:szCs w:val="28"/>
        </w:rPr>
      </w:pPr>
      <w:r w:rsidRPr="00FE2AAB">
        <w:rPr>
          <w:rFonts w:ascii="標楷體" w:eastAsia="標楷體" w:hAnsi="標楷體" w:hint="eastAsia"/>
          <w:sz w:val="28"/>
          <w:szCs w:val="28"/>
        </w:rPr>
        <w:t>委託技術服務廠商對</w:t>
      </w:r>
      <w:r w:rsidR="00C57146" w:rsidRPr="00FE2AAB">
        <w:rPr>
          <w:rFonts w:ascii="標楷體" w:eastAsia="標楷體" w:hAnsi="標楷體" w:hint="eastAsia"/>
          <w:sz w:val="28"/>
          <w:szCs w:val="28"/>
        </w:rPr>
        <w:t>工程主辦機關</w:t>
      </w:r>
      <w:r w:rsidRPr="00FE2AAB">
        <w:rPr>
          <w:rFonts w:ascii="標楷體" w:eastAsia="標楷體" w:hAnsi="標楷體" w:hint="eastAsia"/>
          <w:sz w:val="28"/>
          <w:szCs w:val="28"/>
        </w:rPr>
        <w:t>扣罰結果</w:t>
      </w:r>
      <w:r w:rsidR="00760DB4" w:rsidRPr="00FE2AAB">
        <w:rPr>
          <w:rFonts w:ascii="標楷體" w:eastAsia="標楷體" w:hAnsi="標楷體" w:hint="eastAsia"/>
          <w:sz w:val="28"/>
          <w:szCs w:val="28"/>
        </w:rPr>
        <w:t>有</w:t>
      </w:r>
      <w:r w:rsidRPr="00FE2AAB">
        <w:rPr>
          <w:rFonts w:ascii="標楷體" w:eastAsia="標楷體" w:hAnsi="標楷體" w:hint="eastAsia"/>
          <w:sz w:val="28"/>
          <w:szCs w:val="28"/>
        </w:rPr>
        <w:t>爭議</w:t>
      </w:r>
      <w:r w:rsidR="00760DB4" w:rsidRPr="00FE2AAB">
        <w:rPr>
          <w:rFonts w:ascii="標楷體" w:eastAsia="標楷體" w:hAnsi="標楷體" w:hint="eastAsia"/>
          <w:sz w:val="28"/>
          <w:szCs w:val="28"/>
        </w:rPr>
        <w:t>時</w:t>
      </w:r>
      <w:r w:rsidRPr="00FE2AAB">
        <w:rPr>
          <w:rFonts w:ascii="標楷體" w:eastAsia="標楷體" w:hAnsi="標楷體" w:hint="eastAsia"/>
          <w:sz w:val="28"/>
          <w:szCs w:val="28"/>
        </w:rPr>
        <w:t>，依契約爭議處理條文辦理。</w:t>
      </w:r>
    </w:p>
    <w:p w:rsidR="00142636" w:rsidRPr="00FE2AAB" w:rsidRDefault="00142636" w:rsidP="00012B12">
      <w:pPr>
        <w:pStyle w:val="1"/>
        <w:tabs>
          <w:tab w:val="left" w:pos="1065"/>
          <w:tab w:val="center" w:pos="4153"/>
        </w:tabs>
        <w:spacing w:line="460" w:lineRule="exact"/>
        <w:ind w:leftChars="0" w:left="840" w:hangingChars="300" w:hanging="840"/>
        <w:jc w:val="both"/>
        <w:rPr>
          <w:rFonts w:ascii="標楷體" w:eastAsia="標楷體" w:hAnsi="標楷體" w:cs="Times New Roman"/>
          <w:sz w:val="28"/>
          <w:szCs w:val="28"/>
        </w:rPr>
      </w:pPr>
    </w:p>
    <w:p w:rsidR="00142636" w:rsidRPr="00FE2AAB" w:rsidRDefault="00142636" w:rsidP="004F163A">
      <w:pPr>
        <w:jc w:val="both"/>
      </w:pPr>
    </w:p>
    <w:p w:rsidR="00F601B2" w:rsidRPr="00FE2AAB" w:rsidRDefault="00F601B2" w:rsidP="004F163A">
      <w:pPr>
        <w:jc w:val="both"/>
      </w:pPr>
    </w:p>
    <w:p w:rsidR="00E75EE8" w:rsidRPr="00FE2AAB" w:rsidRDefault="00E75EE8" w:rsidP="004F163A">
      <w:pPr>
        <w:jc w:val="both"/>
      </w:pPr>
    </w:p>
    <w:p w:rsidR="001D50A4" w:rsidRPr="00FE2AAB" w:rsidRDefault="001D50A4" w:rsidP="004F163A">
      <w:pPr>
        <w:jc w:val="both"/>
      </w:pPr>
    </w:p>
    <w:p w:rsidR="00DC1B96" w:rsidRPr="00FE2AAB" w:rsidRDefault="00DC1B96" w:rsidP="00DC1B96">
      <w:pPr>
        <w:snapToGrid w:val="0"/>
        <w:spacing w:line="460" w:lineRule="exact"/>
        <w:rPr>
          <w:rFonts w:ascii="Times New Roman" w:eastAsia="標楷體" w:hAnsi="Times New Roman"/>
          <w:sz w:val="28"/>
          <w:szCs w:val="28"/>
        </w:rPr>
      </w:pPr>
      <w:r w:rsidRPr="00FE2AAB">
        <w:rPr>
          <w:rFonts w:ascii="Times New Roman" w:eastAsia="標楷體" w:hAnsi="標楷體" w:hint="eastAsia"/>
          <w:sz w:val="28"/>
          <w:szCs w:val="28"/>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0"/>
        <w:gridCol w:w="3969"/>
        <w:gridCol w:w="3670"/>
      </w:tblGrid>
      <w:tr w:rsidR="00DC1B96" w:rsidRPr="00FE2AAB" w:rsidTr="00CE365B">
        <w:trPr>
          <w:cantSplit/>
          <w:trHeight w:val="20"/>
        </w:trPr>
        <w:tc>
          <w:tcPr>
            <w:tcW w:w="1120" w:type="dxa"/>
            <w:vAlign w:val="center"/>
            <w:hideMark/>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color w:val="000000" w:themeColor="text1"/>
                <w:kern w:val="0"/>
              </w:rPr>
              <w:br w:type="page"/>
            </w:r>
            <w:r w:rsidRPr="00FE2AAB">
              <w:rPr>
                <w:rFonts w:ascii="Times New Roman" w:eastAsia="標楷體" w:hAnsi="Times New Roman"/>
                <w:color w:val="000000" w:themeColor="text1"/>
                <w:kern w:val="0"/>
              </w:rPr>
              <w:br w:type="page"/>
            </w:r>
            <w:r w:rsidRPr="00FE2AAB">
              <w:rPr>
                <w:rFonts w:ascii="Times New Roman" w:eastAsia="標楷體" w:hAnsi="Times New Roman"/>
                <w:color w:val="000000" w:themeColor="text1"/>
                <w:kern w:val="0"/>
              </w:rPr>
              <w:br w:type="page"/>
            </w:r>
            <w:r w:rsidRPr="00FE2AAB">
              <w:rPr>
                <w:rFonts w:ascii="Times New Roman" w:eastAsia="標楷體" w:hAnsi="Times New Roman"/>
                <w:color w:val="000000" w:themeColor="text1"/>
                <w:kern w:val="0"/>
              </w:rPr>
              <w:br w:type="page"/>
            </w:r>
            <w:r w:rsidRPr="00FE2AAB">
              <w:rPr>
                <w:rFonts w:ascii="Times New Roman" w:eastAsia="標楷體" w:hAnsi="Times New Roman"/>
                <w:color w:val="000000" w:themeColor="text1"/>
                <w:kern w:val="0"/>
              </w:rPr>
              <w:br w:type="page"/>
            </w:r>
            <w:r w:rsidRPr="00FE2AAB">
              <w:rPr>
                <w:rFonts w:ascii="Times New Roman" w:eastAsia="標楷體" w:hAnsi="標楷體"/>
                <w:color w:val="000000" w:themeColor="text1"/>
                <w:kern w:val="0"/>
              </w:rPr>
              <w:t>項</w:t>
            </w:r>
            <w:r w:rsidRPr="00FE2AAB">
              <w:rPr>
                <w:rFonts w:ascii="Times New Roman" w:eastAsia="標楷體" w:hAnsi="標楷體" w:hint="eastAsia"/>
                <w:color w:val="000000" w:themeColor="text1"/>
                <w:kern w:val="0"/>
              </w:rPr>
              <w:t>目</w:t>
            </w:r>
          </w:p>
        </w:tc>
        <w:tc>
          <w:tcPr>
            <w:tcW w:w="3969" w:type="dxa"/>
            <w:vAlign w:val="center"/>
            <w:hideMark/>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標楷體" w:hint="eastAsia"/>
                <w:color w:val="000000" w:themeColor="text1"/>
                <w:kern w:val="0"/>
              </w:rPr>
              <w:t>缺失</w:t>
            </w:r>
            <w:r w:rsidRPr="00FE2AAB">
              <w:rPr>
                <w:rFonts w:ascii="Times New Roman" w:eastAsia="標楷體" w:hAnsi="標楷體"/>
                <w:color w:val="000000" w:themeColor="text1"/>
                <w:kern w:val="0"/>
              </w:rPr>
              <w:t>事項</w:t>
            </w:r>
          </w:p>
        </w:tc>
        <w:tc>
          <w:tcPr>
            <w:tcW w:w="3670" w:type="dxa"/>
            <w:vAlign w:val="center"/>
            <w:hideMark/>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扣點額度</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hint="eastAsia"/>
                <w:color w:val="000000" w:themeColor="text1"/>
                <w:kern w:val="0"/>
              </w:rPr>
              <w:t>可行性研究、規劃或設計服務有下列不良情事者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roofErr w:type="gramStart"/>
            <w:r w:rsidRPr="00FE2AAB">
              <w:rPr>
                <w:rFonts w:ascii="Times New Roman" w:eastAsia="標楷體" w:hAnsi="Times New Roman" w:hint="eastAsia"/>
                <w:color w:val="000000" w:themeColor="text1"/>
                <w:kern w:val="0"/>
              </w:rPr>
              <w:t>一</w:t>
            </w:r>
            <w:proofErr w:type="gramEnd"/>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各階段履約有下列情形之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)未依約定期限提送。</w:t>
            </w:r>
          </w:p>
          <w:p w:rsidR="00DC1B96" w:rsidRPr="00FE2AAB" w:rsidRDefault="00DC1B96" w:rsidP="00CE365B">
            <w:pPr>
              <w:spacing w:line="300" w:lineRule="exact"/>
              <w:ind w:leftChars="3" w:left="576" w:hangingChars="237" w:hanging="569"/>
              <w:jc w:val="both"/>
              <w:rPr>
                <w:rFonts w:ascii="標楷體" w:eastAsia="標楷體" w:hAnsi="標楷體"/>
                <w:color w:val="000000" w:themeColor="text1"/>
              </w:rPr>
            </w:pPr>
            <w:r w:rsidRPr="00FE2AAB">
              <w:rPr>
                <w:rFonts w:ascii="標楷體" w:eastAsia="標楷體" w:hAnsi="標楷體" w:hint="eastAsia"/>
                <w:color w:val="000000" w:themeColor="text1"/>
              </w:rPr>
              <w:t>(二)提送文件資料經審查認有應修正、補正，而未依約定期限或通知期限辦理。</w:t>
            </w:r>
          </w:p>
          <w:p w:rsidR="00DC1B96" w:rsidRPr="00FE2AAB" w:rsidRDefault="00DC1B96" w:rsidP="00CE365B">
            <w:pPr>
              <w:spacing w:line="300" w:lineRule="exact"/>
              <w:ind w:left="434" w:hangingChars="181" w:hanging="434"/>
              <w:jc w:val="both"/>
              <w:textAlignment w:val="bottom"/>
              <w:rPr>
                <w:rFonts w:ascii="Times New Roman" w:eastAsia="標楷體" w:hAnsi="標楷體"/>
                <w:color w:val="000000" w:themeColor="text1"/>
                <w:kern w:val="0"/>
              </w:rPr>
            </w:pPr>
            <w:r w:rsidRPr="00FE2AAB">
              <w:rPr>
                <w:rFonts w:ascii="標楷體" w:eastAsia="標楷體" w:hAnsi="標楷體" w:hint="eastAsia"/>
                <w:color w:val="000000" w:themeColor="text1"/>
              </w:rPr>
              <w:t>(三)因可歸責於廠商之事由，</w:t>
            </w:r>
            <w:proofErr w:type="gramStart"/>
            <w:r w:rsidRPr="00FE2AAB">
              <w:rPr>
                <w:rFonts w:ascii="標楷體" w:eastAsia="標楷體" w:hAnsi="標楷體" w:hint="eastAsia"/>
                <w:color w:val="000000" w:themeColor="text1"/>
              </w:rPr>
              <w:t>致審退</w:t>
            </w:r>
            <w:proofErr w:type="gramEnd"/>
            <w:r w:rsidRPr="00FE2AAB">
              <w:rPr>
                <w:rFonts w:ascii="標楷體" w:eastAsia="標楷體" w:hAnsi="標楷體" w:hint="eastAsia"/>
                <w:color w:val="000000" w:themeColor="text1"/>
              </w:rPr>
              <w:t>二次以上。</w:t>
            </w:r>
          </w:p>
        </w:tc>
        <w:tc>
          <w:tcPr>
            <w:tcW w:w="3670" w:type="dxa"/>
            <w:vAlign w:val="center"/>
          </w:tcPr>
          <w:p w:rsidR="00DC1B96" w:rsidRPr="00FE2AAB" w:rsidRDefault="00DC1B96" w:rsidP="00CE365B">
            <w:pPr>
              <w:spacing w:line="300" w:lineRule="exact"/>
              <w:ind w:leftChars="3" w:left="576" w:hangingChars="237" w:hanging="569"/>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)經通知限期改善逾期未改善者，或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以上者，扣二點。</w:t>
            </w:r>
          </w:p>
          <w:p w:rsidR="00DC1B96" w:rsidRPr="00FE2AAB" w:rsidRDefault="00DC1B96" w:rsidP="00CE365B">
            <w:pPr>
              <w:spacing w:line="300" w:lineRule="exact"/>
              <w:ind w:left="576" w:hangingChars="240" w:hanging="576"/>
              <w:jc w:val="both"/>
              <w:textAlignment w:val="bottom"/>
              <w:rPr>
                <w:rFonts w:ascii="Times New Roman" w:eastAsia="標楷體" w:hAnsi="標楷體"/>
                <w:color w:val="000000" w:themeColor="text1"/>
                <w:kern w:val="0"/>
              </w:rPr>
            </w:pPr>
            <w:r w:rsidRPr="00FE2AAB">
              <w:rPr>
                <w:rFonts w:ascii="標楷體" w:eastAsia="標楷體" w:hAnsi="標楷體" w:hint="eastAsia"/>
                <w:color w:val="000000" w:themeColor="text1"/>
              </w:rPr>
              <w:t>(二)第二</w:t>
            </w:r>
            <w:proofErr w:type="gramStart"/>
            <w:r w:rsidRPr="00FE2AAB">
              <w:rPr>
                <w:rFonts w:ascii="標楷體" w:eastAsia="標楷體" w:hAnsi="標楷體" w:hint="eastAsia"/>
                <w:color w:val="000000" w:themeColor="text1"/>
              </w:rPr>
              <w:t>次審退</w:t>
            </w:r>
            <w:proofErr w:type="gramEnd"/>
            <w:r w:rsidRPr="00FE2AAB">
              <w:rPr>
                <w:rFonts w:ascii="標楷體" w:eastAsia="標楷體" w:hAnsi="標楷體" w:hint="eastAsia"/>
                <w:color w:val="000000" w:themeColor="text1"/>
              </w:rPr>
              <w:t>以後，每增加一次，再扣二點。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前項以外其他應辦理或審查之文件資料，未依規定期限提送者。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標楷體" w:eastAsia="標楷體" w:hAnsi="標楷體" w:hint="eastAsia"/>
                <w:color w:val="000000" w:themeColor="text1"/>
              </w:rPr>
              <w:t>每次扣二點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三</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未依約定或機關核定之用人計畫辦理，或未經機關同意擅自變更原核定人員者。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標楷體" w:eastAsia="標楷體" w:hAnsi="標楷體" w:hint="eastAsia"/>
                <w:color w:val="000000" w:themeColor="text1"/>
              </w:rPr>
              <w:t>經通知限期改善逾期未改善者，扣二點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四</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設計內容</w:t>
            </w:r>
            <w:proofErr w:type="gramStart"/>
            <w:r w:rsidRPr="00FE2AAB">
              <w:rPr>
                <w:rFonts w:ascii="標楷體" w:eastAsia="標楷體" w:hAnsi="標楷體" w:hint="eastAsia"/>
                <w:color w:val="000000" w:themeColor="text1"/>
              </w:rPr>
              <w:t>或代擬招標</w:t>
            </w:r>
            <w:proofErr w:type="gramEnd"/>
            <w:r w:rsidRPr="00FE2AAB">
              <w:rPr>
                <w:rFonts w:ascii="標楷體" w:eastAsia="標楷體" w:hAnsi="標楷體" w:hint="eastAsia"/>
                <w:color w:val="000000" w:themeColor="text1"/>
              </w:rPr>
              <w:t>文件要求或提及特定之商標或商名、專利、設計或型式、特定來源地、生產者或供應者，未依政府採購法第二十六條執行注意事項規定，於事前敘明理由報請機關或專案管理廠商審核或未依審定結果辦理者。</w:t>
            </w:r>
          </w:p>
        </w:tc>
        <w:tc>
          <w:tcPr>
            <w:tcW w:w="3670" w:type="dxa"/>
            <w:vAlign w:val="center"/>
          </w:tcPr>
          <w:p w:rsidR="00DC1B96" w:rsidRPr="00FE2AAB" w:rsidRDefault="00DC1B96" w:rsidP="00CE365B">
            <w:pPr>
              <w:spacing w:line="300" w:lineRule="exact"/>
              <w:jc w:val="both"/>
              <w:rPr>
                <w:rFonts w:ascii="Times New Roman" w:eastAsia="標楷體" w:hAnsi="標楷體"/>
                <w:color w:val="000000" w:themeColor="text1"/>
                <w:kern w:val="0"/>
              </w:rPr>
            </w:pPr>
            <w:r w:rsidRPr="00FE2AAB">
              <w:rPr>
                <w:rFonts w:ascii="標楷體" w:eastAsia="標楷體" w:hAnsi="標楷體" w:hint="eastAsia"/>
                <w:color w:val="000000" w:themeColor="text1"/>
              </w:rPr>
              <w:t>扣四十點。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五</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因可歸責於廠商之事由，致機關遭受下列損害或</w:t>
            </w:r>
            <w:proofErr w:type="gramStart"/>
            <w:r w:rsidRPr="00FE2AAB">
              <w:rPr>
                <w:rFonts w:ascii="標楷體" w:eastAsia="標楷體" w:hAnsi="標楷體" w:hint="eastAsia"/>
                <w:color w:val="000000" w:themeColor="text1"/>
              </w:rPr>
              <w:t>不</w:t>
            </w:r>
            <w:proofErr w:type="gramEnd"/>
            <w:r w:rsidRPr="00FE2AAB">
              <w:rPr>
                <w:rFonts w:ascii="標楷體" w:eastAsia="標楷體" w:hAnsi="標楷體" w:hint="eastAsia"/>
                <w:color w:val="000000" w:themeColor="text1"/>
              </w:rPr>
              <w:t>利益者：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)延誤工程進度或驗收結案期程。</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(二)機關額外支出費用。</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(三)施工或供應之廠商向機關請求賠償。</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(四)發生事故造成損害。</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(五)其他損害。</w:t>
            </w:r>
          </w:p>
        </w:tc>
        <w:tc>
          <w:tcPr>
            <w:tcW w:w="3670" w:type="dxa"/>
            <w:vAlign w:val="center"/>
          </w:tcPr>
          <w:p w:rsidR="00DC1B96" w:rsidRPr="00FE2AAB" w:rsidRDefault="00DC1B96" w:rsidP="00CE365B">
            <w:pPr>
              <w:spacing w:line="300" w:lineRule="exact"/>
              <w:jc w:val="both"/>
              <w:rPr>
                <w:rFonts w:ascii="Times New Roman" w:eastAsia="標楷體" w:hAnsi="標楷體"/>
                <w:color w:val="000000" w:themeColor="text1"/>
                <w:kern w:val="0"/>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標楷體" w:eastAsia="標楷體" w:hAnsi="標楷體"/>
                <w:color w:val="000000" w:themeColor="text1"/>
                <w:kern w:val="0"/>
              </w:rPr>
            </w:pPr>
            <w:r w:rsidRPr="00FE2AAB">
              <w:rPr>
                <w:rFonts w:ascii="標楷體" w:eastAsia="標楷體" w:hAnsi="標楷體" w:hint="eastAsia"/>
                <w:color w:val="000000" w:themeColor="text1"/>
              </w:rPr>
              <w:t>規劃設計</w:t>
            </w:r>
            <w:r w:rsidRPr="00FE2AAB">
              <w:rPr>
                <w:rFonts w:ascii="Times New Roman" w:eastAsia="標楷體" w:hAnsi="標楷體" w:hint="eastAsia"/>
                <w:color w:val="000000" w:themeColor="text1"/>
                <w:kern w:val="0"/>
              </w:rPr>
              <w:t>有下列</w:t>
            </w:r>
            <w:r w:rsidRPr="00FE2AAB">
              <w:rPr>
                <w:rFonts w:ascii="標楷體" w:eastAsia="標楷體" w:hAnsi="標楷體" w:hint="eastAsia"/>
                <w:color w:val="000000" w:themeColor="text1"/>
              </w:rPr>
              <w:t>安全性</w:t>
            </w:r>
            <w:r w:rsidRPr="00FE2AAB">
              <w:rPr>
                <w:rFonts w:ascii="Times New Roman" w:eastAsia="標楷體" w:hAnsi="標楷體" w:hint="eastAsia"/>
                <w:color w:val="000000" w:themeColor="text1"/>
                <w:kern w:val="0"/>
              </w:rPr>
              <w:t>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六</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規範引用不當。</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七</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參數引用不妥適。</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八</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應</w:t>
            </w:r>
            <w:r w:rsidRPr="00FE2AAB">
              <w:rPr>
                <w:rFonts w:ascii="標楷體" w:eastAsia="標楷體" w:hAnsi="標楷體" w:hint="eastAsia"/>
                <w:bCs/>
                <w:color w:val="000000" w:themeColor="text1"/>
              </w:rPr>
              <w:t>變措施規範不足。</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九</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未考量地盤狀況或未確實做好初步踏勘</w:t>
            </w:r>
            <w:proofErr w:type="gramStart"/>
            <w:r w:rsidRPr="00FE2AAB">
              <w:rPr>
                <w:rFonts w:ascii="標楷體" w:eastAsia="標楷體" w:hAnsi="標楷體" w:hint="eastAsia"/>
                <w:bCs/>
                <w:color w:val="000000" w:themeColor="text1"/>
              </w:rPr>
              <w:t>及工址現況</w:t>
            </w:r>
            <w:proofErr w:type="gramEnd"/>
            <w:r w:rsidRPr="00FE2AAB">
              <w:rPr>
                <w:rFonts w:ascii="標楷體" w:eastAsia="標楷體" w:hAnsi="標楷體" w:hint="eastAsia"/>
                <w:bCs/>
                <w:color w:val="000000" w:themeColor="text1"/>
              </w:rPr>
              <w:t>調查。</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工法選用不當。</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十一</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規劃設計成果造成施工動線不良。</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十二</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臨時支撐型式及數量不適當。</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十三</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安全監測項目及頻率不足。</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十四</w:t>
            </w:r>
          </w:p>
        </w:tc>
        <w:tc>
          <w:tcPr>
            <w:tcW w:w="3969" w:type="dxa"/>
            <w:vAlign w:val="center"/>
          </w:tcPr>
          <w:p w:rsidR="00DC1B96" w:rsidRPr="00FE2AAB" w:rsidRDefault="00DC1B96" w:rsidP="00CE365B">
            <w:pPr>
              <w:kinsoku w:val="0"/>
              <w:autoSpaceDE w:val="0"/>
              <w:autoSpaceDN w:val="0"/>
              <w:adjustRightInd w:val="0"/>
              <w:snapToGrid w:val="0"/>
              <w:spacing w:line="300" w:lineRule="exact"/>
              <w:jc w:val="both"/>
              <w:rPr>
                <w:rFonts w:ascii="Times New Roman" w:eastAsia="標楷體" w:hAnsi="標楷體"/>
                <w:color w:val="000000" w:themeColor="text1"/>
              </w:rPr>
            </w:pPr>
            <w:r w:rsidRPr="00FE2AAB">
              <w:rPr>
                <w:rFonts w:ascii="標楷體" w:eastAsia="標楷體" w:hAnsi="標楷體" w:hint="eastAsia"/>
                <w:bCs/>
                <w:color w:val="000000" w:themeColor="text1"/>
              </w:rPr>
              <w:t>設計成果危及維護人員工作環境。</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十五</w:t>
            </w:r>
          </w:p>
        </w:tc>
        <w:tc>
          <w:tcPr>
            <w:tcW w:w="3969"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rPr>
            </w:pPr>
            <w:r w:rsidRPr="00FE2AAB">
              <w:rPr>
                <w:rFonts w:ascii="標楷體" w:eastAsia="標楷體" w:hAnsi="標楷體" w:hint="eastAsia"/>
                <w:color w:val="000000" w:themeColor="text1"/>
              </w:rPr>
              <w:t>其他規劃設計有安全性不良情事</w:t>
            </w:r>
            <w:r w:rsidRPr="00FE2AAB">
              <w:rPr>
                <w:rFonts w:ascii="標楷體" w:eastAsia="標楷體" w:hAnsi="標楷體" w:hint="eastAsia"/>
                <w:bCs/>
                <w:color w:val="000000" w:themeColor="text1"/>
              </w:rPr>
              <w:t>。</w:t>
            </w:r>
          </w:p>
        </w:tc>
        <w:tc>
          <w:tcPr>
            <w:tcW w:w="3670" w:type="dxa"/>
            <w:vAlign w:val="center"/>
          </w:tcPr>
          <w:p w:rsidR="00DC1B96" w:rsidRPr="00FE2AAB" w:rsidRDefault="00DC1B96" w:rsidP="00CE365B">
            <w:pPr>
              <w:jc w:val="both"/>
              <w:rPr>
                <w:color w:val="000000" w:themeColor="text1"/>
              </w:rPr>
            </w:pPr>
            <w:r w:rsidRPr="00FE2AAB">
              <w:rPr>
                <w:rFonts w:ascii="Times New Roman" w:eastAsia="標楷體" w:hAnsi="標楷體" w:hint="eastAsia"/>
                <w:color w:val="000000" w:themeColor="text1"/>
                <w:kern w:val="0"/>
              </w:rPr>
              <w:t>扣五點至十點。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標楷體" w:eastAsia="標楷體" w:hAnsi="標楷體"/>
                <w:color w:val="000000" w:themeColor="text1"/>
                <w:kern w:val="0"/>
              </w:rPr>
            </w:pPr>
            <w:r w:rsidRPr="00FE2AAB">
              <w:rPr>
                <w:rFonts w:ascii="標楷體" w:eastAsia="標楷體" w:hAnsi="標楷體" w:hint="eastAsia"/>
                <w:color w:val="000000" w:themeColor="text1"/>
              </w:rPr>
              <w:t>規劃設計</w:t>
            </w:r>
            <w:r w:rsidRPr="00FE2AAB">
              <w:rPr>
                <w:rFonts w:ascii="Times New Roman" w:eastAsia="標楷體" w:hAnsi="標楷體" w:hint="eastAsia"/>
                <w:color w:val="000000" w:themeColor="text1"/>
                <w:kern w:val="0"/>
              </w:rPr>
              <w:t>有下列</w:t>
            </w:r>
            <w:r w:rsidRPr="00FE2AAB">
              <w:rPr>
                <w:rFonts w:ascii="標楷體" w:eastAsia="標楷體" w:hAnsi="標楷體" w:hint="eastAsia"/>
                <w:color w:val="000000" w:themeColor="text1"/>
              </w:rPr>
              <w:t>施工性</w:t>
            </w:r>
            <w:r w:rsidRPr="00FE2AAB">
              <w:rPr>
                <w:rFonts w:ascii="Times New Roman" w:eastAsia="標楷體" w:hAnsi="標楷體" w:hint="eastAsia"/>
                <w:color w:val="000000" w:themeColor="text1"/>
                <w:kern w:val="0"/>
              </w:rPr>
              <w:t>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lastRenderedPageBreak/>
              <w:t>十六</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施工性不佳</w:t>
            </w:r>
            <w:r w:rsidRPr="00FE2AAB">
              <w:rPr>
                <w:rFonts w:ascii="標楷體" w:eastAsia="標楷體" w:hAnsi="標楷體" w:hint="eastAsia"/>
                <w:bCs/>
                <w:color w:val="000000" w:themeColor="text1"/>
              </w:rPr>
              <w:t>。</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十七</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設計界面整合不良</w:t>
            </w:r>
            <w:r w:rsidRPr="00FE2AAB">
              <w:rPr>
                <w:rFonts w:ascii="標楷體" w:eastAsia="標楷體" w:hAnsi="標楷體" w:hint="eastAsia"/>
                <w:bCs/>
                <w:color w:val="000000" w:themeColor="text1"/>
              </w:rPr>
              <w:t>。</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十八</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變更設計次數或金額不合理。</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十九</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進度的配置不合理。</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二十</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設計未考量</w:t>
            </w:r>
            <w:proofErr w:type="gramStart"/>
            <w:r w:rsidRPr="00FE2AAB">
              <w:rPr>
                <w:rFonts w:ascii="標楷體" w:eastAsia="標楷體" w:hAnsi="標楷體" w:hint="eastAsia"/>
                <w:color w:val="000000" w:themeColor="text1"/>
              </w:rPr>
              <w:t>節能減碳等</w:t>
            </w:r>
            <w:proofErr w:type="gramEnd"/>
            <w:r w:rsidRPr="00FE2AAB">
              <w:rPr>
                <w:rFonts w:ascii="標楷體" w:eastAsia="標楷體" w:hAnsi="標楷體" w:hint="eastAsia"/>
                <w:color w:val="000000" w:themeColor="text1"/>
              </w:rPr>
              <w:t>功能（如綠建築）。</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二十一</w:t>
            </w:r>
          </w:p>
        </w:tc>
        <w:tc>
          <w:tcPr>
            <w:tcW w:w="3969" w:type="dxa"/>
            <w:vAlign w:val="center"/>
          </w:tcPr>
          <w:p w:rsidR="00DC1B96" w:rsidRPr="00FE2AAB" w:rsidRDefault="00DC1B96" w:rsidP="00CE365B">
            <w:pPr>
              <w:spacing w:line="300" w:lineRule="exact"/>
              <w:jc w:val="both"/>
              <w:rPr>
                <w:rFonts w:ascii="Times New Roman" w:eastAsia="標楷體" w:hAnsi="標楷體"/>
                <w:color w:val="000000" w:themeColor="text1"/>
              </w:rPr>
            </w:pPr>
            <w:r w:rsidRPr="00FE2AAB">
              <w:rPr>
                <w:rFonts w:ascii="標楷體" w:eastAsia="標楷體" w:hAnsi="標楷體" w:hint="eastAsia"/>
                <w:color w:val="000000" w:themeColor="text1"/>
              </w:rPr>
              <w:t>對於土地取得之困難度未作說明。</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二十二</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對於土地取得之經費未作分析。</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二十三</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測量資料、地質資料、水文氣象資料、公共管線資料及其他必須資料不足。</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二十四</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其他規劃設計有施工性不良情事。</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標楷體" w:eastAsia="標楷體" w:hAnsi="標楷體"/>
                <w:color w:val="000000" w:themeColor="text1"/>
                <w:kern w:val="0"/>
              </w:rPr>
            </w:pPr>
            <w:r w:rsidRPr="00FE2AAB">
              <w:rPr>
                <w:rFonts w:ascii="標楷體" w:eastAsia="標楷體" w:hAnsi="標楷體" w:hint="eastAsia"/>
                <w:color w:val="000000" w:themeColor="text1"/>
              </w:rPr>
              <w:t>規劃設計</w:t>
            </w:r>
            <w:r w:rsidRPr="00FE2AAB">
              <w:rPr>
                <w:rFonts w:ascii="Times New Roman" w:eastAsia="標楷體" w:hAnsi="標楷體" w:hint="eastAsia"/>
                <w:color w:val="000000" w:themeColor="text1"/>
                <w:kern w:val="0"/>
              </w:rPr>
              <w:t>有下列</w:t>
            </w:r>
            <w:r w:rsidRPr="00FE2AAB">
              <w:rPr>
                <w:rFonts w:ascii="標楷體" w:eastAsia="標楷體" w:hAnsi="標楷體" w:hint="eastAsia"/>
                <w:color w:val="000000" w:themeColor="text1"/>
              </w:rPr>
              <w:t>維護性</w:t>
            </w:r>
            <w:r w:rsidRPr="00FE2AAB">
              <w:rPr>
                <w:rFonts w:ascii="Times New Roman" w:eastAsia="標楷體" w:hAnsi="標楷體" w:hint="eastAsia"/>
                <w:color w:val="000000" w:themeColor="text1"/>
                <w:kern w:val="0"/>
              </w:rPr>
              <w:t>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二十五</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材料耐久性引用規範不當。</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二十六</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維修材料取得不易。</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二十七</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維護技術困難。</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二十八</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單價分析表施工項目重複編列。</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二十九</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未依工程會九五年一月三十日</w:t>
            </w:r>
            <w:proofErr w:type="gramStart"/>
            <w:r w:rsidRPr="00FE2AAB">
              <w:rPr>
                <w:rFonts w:ascii="標楷體" w:eastAsia="標楷體" w:hAnsi="標楷體" w:hint="eastAsia"/>
                <w:color w:val="000000" w:themeColor="text1"/>
              </w:rPr>
              <w:t>工程技字第○九五○</w:t>
            </w:r>
            <w:proofErr w:type="gramEnd"/>
            <w:r w:rsidRPr="00FE2AAB">
              <w:rPr>
                <w:rFonts w:ascii="標楷體" w:eastAsia="標楷體" w:hAnsi="標楷體" w:hint="eastAsia"/>
                <w:color w:val="000000" w:themeColor="text1"/>
              </w:rPr>
              <w:t>○四二○五○○號函，於規劃設計階段考量營建土石方平衡及交換、確認土質種類及數量、避免大</w:t>
            </w:r>
            <w:proofErr w:type="gramStart"/>
            <w:r w:rsidRPr="00FE2AAB">
              <w:rPr>
                <w:rFonts w:ascii="標楷體" w:eastAsia="標楷體" w:hAnsi="標楷體" w:hint="eastAsia"/>
                <w:color w:val="000000" w:themeColor="text1"/>
              </w:rPr>
              <w:t>挖大填</w:t>
            </w:r>
            <w:proofErr w:type="gramEnd"/>
            <w:r w:rsidRPr="00FE2AAB">
              <w:rPr>
                <w:rFonts w:ascii="標楷體" w:eastAsia="標楷體" w:hAnsi="標楷體" w:hint="eastAsia"/>
                <w:color w:val="000000" w:themeColor="text1"/>
              </w:rPr>
              <w:t>、評估合法處理場所容量或大量者評估</w:t>
            </w:r>
            <w:proofErr w:type="gramStart"/>
            <w:r w:rsidRPr="00FE2AAB">
              <w:rPr>
                <w:rFonts w:ascii="標楷體" w:eastAsia="標楷體" w:hAnsi="標楷體" w:hint="eastAsia"/>
                <w:color w:val="000000" w:themeColor="text1"/>
              </w:rPr>
              <w:t>自設土石方</w:t>
            </w:r>
            <w:proofErr w:type="gramEnd"/>
            <w:r w:rsidRPr="00FE2AAB">
              <w:rPr>
                <w:rFonts w:ascii="標楷體" w:eastAsia="標楷體" w:hAnsi="標楷體" w:hint="eastAsia"/>
                <w:color w:val="000000" w:themeColor="text1"/>
              </w:rPr>
              <w:t>資源堆置處理場等原則。</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其他規劃設計有維護性不良情事。</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rPr>
            </w:pPr>
            <w:r w:rsidRPr="00FE2AAB">
              <w:rPr>
                <w:rFonts w:ascii="Times New Roman" w:eastAsia="標楷體" w:hAnsi="Times New Roman"/>
                <w:color w:val="000000" w:themeColor="text1"/>
              </w:rPr>
              <w:t>公眾使用空間之規劃設計未針對性別差異於安全性、友善性或便利性作適當考量</w:t>
            </w:r>
            <w:r w:rsidRPr="00FE2AAB">
              <w:rPr>
                <w:rFonts w:ascii="Times New Roman" w:eastAsia="標楷體" w:hAnsi="標楷體" w:hint="eastAsia"/>
                <w:color w:val="000000" w:themeColor="text1"/>
                <w:kern w:val="0"/>
              </w:rPr>
              <w:t>有下列不良情事者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三十一</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未建構男女空間合理使用比例。</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三十二</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未考量空間安全性，如空間死角、路燈數量、公共女廁座落位置、裝設安全警鈴。</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三十三</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未考量不同性別特殊需求，如設置哺乳室。</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三十四</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未考量不同性別感受，建構整潔舒適環境，如吸菸非吸菸區規定。</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三十五</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其他公眾使用空間之規劃設計未針對性別差異於安全性、友善性或便利性作適當考量情事。</w:t>
            </w:r>
          </w:p>
        </w:tc>
        <w:tc>
          <w:tcPr>
            <w:tcW w:w="3670" w:type="dxa"/>
            <w:vAlign w:val="center"/>
          </w:tcPr>
          <w:p w:rsidR="00DC1B96" w:rsidRPr="00FE2AAB" w:rsidRDefault="00DC1B96" w:rsidP="00CE365B">
            <w:pPr>
              <w:spacing w:line="300" w:lineRule="exact"/>
              <w:jc w:val="both"/>
              <w:rPr>
                <w:color w:val="000000" w:themeColor="text1"/>
              </w:rPr>
            </w:pPr>
            <w:r w:rsidRPr="00FE2AAB">
              <w:rPr>
                <w:rFonts w:ascii="Times New Roman" w:eastAsia="標楷體" w:hAnsi="標楷體" w:hint="eastAsia"/>
                <w:color w:val="000000" w:themeColor="text1"/>
                <w:kern w:val="0"/>
              </w:rPr>
              <w:t>扣二點至四點。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hint="eastAsia"/>
                <w:color w:val="000000" w:themeColor="text1"/>
                <w:kern w:val="0"/>
              </w:rPr>
              <w:t>廠商辦理監造服務有下列不良情事者</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lastRenderedPageBreak/>
              <w:t>三十六</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監造計畫、安全衛生監督查驗計畫及實施方式、監造日報表、監造報告書及其他應辦理之文件資料有下列情形之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)未依約定期限提送。</w:t>
            </w:r>
          </w:p>
          <w:p w:rsidR="00DC1B96" w:rsidRPr="00FE2AAB" w:rsidRDefault="00DC1B96" w:rsidP="00CE365B">
            <w:pPr>
              <w:spacing w:line="300" w:lineRule="exact"/>
              <w:ind w:left="576" w:hangingChars="240" w:hanging="576"/>
              <w:jc w:val="both"/>
              <w:rPr>
                <w:rFonts w:ascii="標楷體" w:eastAsia="標楷體" w:hAnsi="標楷體"/>
                <w:color w:val="000000" w:themeColor="text1"/>
              </w:rPr>
            </w:pPr>
            <w:r w:rsidRPr="00FE2AAB">
              <w:rPr>
                <w:rFonts w:ascii="標楷體" w:eastAsia="標楷體" w:hAnsi="標楷體" w:hint="eastAsia"/>
                <w:color w:val="000000" w:themeColor="text1"/>
              </w:rPr>
              <w:t>(二)提送文件資料經審查認有應修正、補正，而未依約定期限或通知期限辦理。</w:t>
            </w:r>
          </w:p>
          <w:p w:rsidR="00DC1B96" w:rsidRPr="00FE2AAB" w:rsidRDefault="00DC1B96" w:rsidP="00CE365B">
            <w:pPr>
              <w:spacing w:line="300" w:lineRule="exact"/>
              <w:ind w:left="576" w:hangingChars="240" w:hanging="576"/>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(三)因可歸責於廠商之事由，</w:t>
            </w:r>
            <w:proofErr w:type="gramStart"/>
            <w:r w:rsidRPr="00FE2AAB">
              <w:rPr>
                <w:rFonts w:ascii="標楷體" w:eastAsia="標楷體" w:hAnsi="標楷體" w:hint="eastAsia"/>
                <w:color w:val="000000" w:themeColor="text1"/>
              </w:rPr>
              <w:t>致審退</w:t>
            </w:r>
            <w:proofErr w:type="gramEnd"/>
            <w:r w:rsidRPr="00FE2AAB">
              <w:rPr>
                <w:rFonts w:ascii="標楷體" w:eastAsia="標楷體" w:hAnsi="標楷體" w:hint="eastAsia"/>
                <w:color w:val="000000" w:themeColor="text1"/>
              </w:rPr>
              <w:t>二次以上。</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Times New Roman" w:eastAsia="標楷體" w:hAnsi="標楷體" w:hint="eastAsia"/>
                <w:color w:val="000000" w:themeColor="text1"/>
              </w:rPr>
              <w:t>(</w:t>
            </w:r>
            <w:proofErr w:type="gramStart"/>
            <w:r w:rsidRPr="00FE2AAB">
              <w:rPr>
                <w:rFonts w:ascii="Times New Roman" w:eastAsia="標楷體" w:hAnsi="標楷體" w:hint="eastAsia"/>
                <w:color w:val="000000" w:themeColor="text1"/>
              </w:rPr>
              <w:t>一</w:t>
            </w:r>
            <w:proofErr w:type="gramEnd"/>
            <w:r w:rsidRPr="00FE2AAB">
              <w:rPr>
                <w:rFonts w:ascii="Times New Roman" w:eastAsia="標楷體" w:hAnsi="標楷體" w:hint="eastAsia"/>
                <w:color w:val="000000" w:themeColor="text1"/>
              </w:rPr>
              <w:t>)</w:t>
            </w:r>
            <w:r w:rsidRPr="00FE2AAB">
              <w:rPr>
                <w:rFonts w:ascii="Times New Roman" w:eastAsia="標楷體" w:hAnsi="標楷體"/>
                <w:color w:val="000000" w:themeColor="text1"/>
              </w:rPr>
              <w:t>每逾</w:t>
            </w:r>
            <w:r w:rsidRPr="00FE2AAB">
              <w:rPr>
                <w:rFonts w:ascii="Times New Roman" w:eastAsia="標楷體" w:hAnsi="Times New Roman" w:hint="eastAsia"/>
                <w:color w:val="000000" w:themeColor="text1"/>
              </w:rPr>
              <w:t>一</w:t>
            </w:r>
            <w:r w:rsidRPr="00FE2AAB">
              <w:rPr>
                <w:rFonts w:ascii="Times New Roman" w:eastAsia="標楷體" w:hAnsi="標楷體"/>
                <w:color w:val="000000" w:themeColor="text1"/>
              </w:rPr>
              <w:t>日扣</w:t>
            </w:r>
            <w:r w:rsidRPr="00FE2AAB">
              <w:rPr>
                <w:rFonts w:ascii="Times New Roman" w:eastAsia="標楷體" w:hAnsi="Times New Roman" w:hint="eastAsia"/>
                <w:color w:val="000000" w:themeColor="text1"/>
              </w:rPr>
              <w:t>零點五</w:t>
            </w:r>
            <w:r w:rsidRPr="00FE2AAB">
              <w:rPr>
                <w:rFonts w:ascii="Times New Roman" w:eastAsia="標楷體" w:hAnsi="標楷體"/>
                <w:color w:val="000000" w:themeColor="text1"/>
              </w:rPr>
              <w:t>點</w:t>
            </w:r>
            <w:r w:rsidRPr="00FE2AAB">
              <w:rPr>
                <w:rFonts w:ascii="Times New Roman" w:eastAsia="標楷體" w:hAnsi="標楷體" w:hint="eastAsia"/>
                <w:color w:val="000000" w:themeColor="text1"/>
              </w:rPr>
              <w:t>，</w:t>
            </w:r>
            <w:r w:rsidRPr="00FE2AAB">
              <w:rPr>
                <w:rFonts w:ascii="標楷體" w:eastAsia="標楷體" w:hAnsi="標楷體" w:hint="eastAsia"/>
                <w:color w:val="000000" w:themeColor="text1"/>
              </w:rPr>
              <w:t>經通知限期改善逾期未改善者，</w:t>
            </w:r>
            <w:proofErr w:type="gramStart"/>
            <w:r w:rsidRPr="00FE2AAB">
              <w:rPr>
                <w:rFonts w:ascii="標楷體" w:eastAsia="標楷體" w:hAnsi="標楷體" w:hint="eastAsia"/>
                <w:color w:val="000000" w:themeColor="text1"/>
              </w:rPr>
              <w:t>加扣五點</w:t>
            </w:r>
            <w:proofErr w:type="gramEnd"/>
            <w:r w:rsidRPr="00FE2AAB">
              <w:rPr>
                <w:rFonts w:ascii="Times New Roman" w:eastAsia="標楷體" w:hAnsi="標楷體" w:hint="eastAsia"/>
                <w:color w:val="000000" w:themeColor="text1"/>
              </w:rPr>
              <w:t>。</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以上者，每增加一次扣五點。</w:t>
            </w:r>
          </w:p>
          <w:p w:rsidR="00DC1B96" w:rsidRPr="00FE2AAB" w:rsidRDefault="00DC1B96" w:rsidP="00CE365B">
            <w:pPr>
              <w:spacing w:line="300" w:lineRule="exact"/>
              <w:jc w:val="both"/>
              <w:textAlignment w:val="bottom"/>
              <w:rPr>
                <w:rFonts w:ascii="標楷體" w:eastAsia="標楷體" w:hAnsi="標楷體"/>
                <w:color w:val="000000" w:themeColor="text1"/>
              </w:rPr>
            </w:pP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三十七</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審查、審定(複核)或核定施工廠商提報之品質計畫、勞工安全衛生管理計畫、整體施工計畫、分項施工計畫、交通維持計畫或其他依規定應送審之文件資料有下列情形之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)未依約定期限辦理。</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(二)辦理不確實致有違失。</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(三)無正當</w:t>
            </w:r>
            <w:proofErr w:type="gramStart"/>
            <w:r w:rsidRPr="00FE2AAB">
              <w:rPr>
                <w:rFonts w:ascii="標楷體" w:eastAsia="標楷體" w:hAnsi="標楷體" w:hint="eastAsia"/>
                <w:color w:val="000000" w:themeColor="text1"/>
              </w:rPr>
              <w:t>理由審退施工</w:t>
            </w:r>
            <w:proofErr w:type="gramEnd"/>
            <w:r w:rsidRPr="00FE2AAB">
              <w:rPr>
                <w:rFonts w:ascii="標楷體" w:eastAsia="標楷體" w:hAnsi="標楷體" w:hint="eastAsia"/>
                <w:color w:val="000000" w:themeColor="text1"/>
              </w:rPr>
              <w:t>廠商文件資料二次以上。</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(四)有不當限制競爭或違反法令之情形。</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)有本項第一款至第三款情形之一，經通知限期改善逾期未改善者，或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以上者，扣二點。</w:t>
            </w:r>
          </w:p>
          <w:p w:rsidR="00DC1B96" w:rsidRPr="00FE2AAB" w:rsidRDefault="00DC1B96" w:rsidP="00CE365B">
            <w:pPr>
              <w:spacing w:line="300" w:lineRule="exact"/>
              <w:ind w:leftChars="3" w:left="576" w:hangingChars="237" w:hanging="569"/>
              <w:jc w:val="both"/>
              <w:rPr>
                <w:rFonts w:ascii="標楷體" w:eastAsia="標楷體" w:hAnsi="標楷體"/>
                <w:color w:val="000000" w:themeColor="text1"/>
              </w:rPr>
            </w:pPr>
            <w:r w:rsidRPr="00FE2AAB">
              <w:rPr>
                <w:rFonts w:ascii="標楷體" w:eastAsia="標楷體" w:hAnsi="標楷體" w:hint="eastAsia"/>
                <w:color w:val="000000" w:themeColor="text1"/>
              </w:rPr>
              <w:t>(二)有本項第四款情形者，扣十點。</w:t>
            </w:r>
          </w:p>
          <w:p w:rsidR="00DC1B96" w:rsidRPr="00FE2AAB" w:rsidRDefault="00DC1B96" w:rsidP="00CE365B">
            <w:pPr>
              <w:spacing w:line="300" w:lineRule="exact"/>
              <w:jc w:val="both"/>
              <w:rPr>
                <w:rFonts w:ascii="標楷體" w:eastAsia="標楷體" w:hAnsi="標楷體"/>
                <w:color w:val="000000" w:themeColor="text1"/>
              </w:rPr>
            </w:pP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三十八</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未配合參與會</w:t>
            </w:r>
            <w:proofErr w:type="gramStart"/>
            <w:r w:rsidRPr="00FE2AAB">
              <w:rPr>
                <w:rFonts w:ascii="標楷體" w:eastAsia="標楷體" w:hAnsi="標楷體" w:hint="eastAsia"/>
                <w:color w:val="000000" w:themeColor="text1"/>
              </w:rPr>
              <w:t>勘</w:t>
            </w:r>
            <w:proofErr w:type="gramEnd"/>
            <w:r w:rsidRPr="00FE2AAB">
              <w:rPr>
                <w:rFonts w:ascii="標楷體" w:eastAsia="標楷體" w:hAnsi="標楷體" w:hint="eastAsia"/>
                <w:color w:val="000000" w:themeColor="text1"/>
              </w:rPr>
              <w:t>或勘驗(如開工前會</w:t>
            </w:r>
            <w:proofErr w:type="gramStart"/>
            <w:r w:rsidRPr="00FE2AAB">
              <w:rPr>
                <w:rFonts w:ascii="標楷體" w:eastAsia="標楷體" w:hAnsi="標楷體" w:hint="eastAsia"/>
                <w:color w:val="000000" w:themeColor="text1"/>
              </w:rPr>
              <w:t>勘</w:t>
            </w:r>
            <w:proofErr w:type="gramEnd"/>
            <w:r w:rsidRPr="00FE2AAB">
              <w:rPr>
                <w:rFonts w:ascii="標楷體" w:eastAsia="標楷體" w:hAnsi="標楷體" w:hint="eastAsia"/>
                <w:color w:val="000000" w:themeColor="text1"/>
              </w:rPr>
              <w:t>、施工中協調會議、契約變更會</w:t>
            </w:r>
            <w:proofErr w:type="gramStart"/>
            <w:r w:rsidRPr="00FE2AAB">
              <w:rPr>
                <w:rFonts w:ascii="標楷體" w:eastAsia="標楷體" w:hAnsi="標楷體" w:hint="eastAsia"/>
                <w:color w:val="000000" w:themeColor="text1"/>
              </w:rPr>
              <w:t>勘</w:t>
            </w:r>
            <w:proofErr w:type="gramEnd"/>
            <w:r w:rsidRPr="00FE2AAB">
              <w:rPr>
                <w:rFonts w:ascii="標楷體" w:eastAsia="標楷體" w:hAnsi="標楷體" w:hint="eastAsia"/>
                <w:color w:val="000000" w:themeColor="text1"/>
              </w:rPr>
              <w:t>或其他主管機關之查驗或勘驗等)者。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經通知而未配合參與者，扣二點。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三十九</w:t>
            </w:r>
          </w:p>
        </w:tc>
        <w:tc>
          <w:tcPr>
            <w:tcW w:w="3969" w:type="dxa"/>
            <w:vAlign w:val="center"/>
          </w:tcPr>
          <w:p w:rsidR="00DC1B96" w:rsidRPr="00FE2AAB" w:rsidRDefault="00DC1B96" w:rsidP="00CE365B">
            <w:pPr>
              <w:spacing w:line="300" w:lineRule="exact"/>
              <w:jc w:val="both"/>
              <w:rPr>
                <w:rFonts w:ascii="標楷體" w:eastAsia="標楷體" w:hAnsi="標楷體"/>
                <w:dstrike/>
                <w:color w:val="000000" w:themeColor="text1"/>
              </w:rPr>
            </w:pPr>
            <w:r w:rsidRPr="00FE2AAB">
              <w:rPr>
                <w:rFonts w:ascii="標楷體" w:eastAsia="標楷體" w:hAnsi="標楷體" w:hint="eastAsia"/>
                <w:color w:val="000000" w:themeColor="text1"/>
              </w:rPr>
              <w:t>辦理各項施工作業抽查、材料與設備抽驗，或審查、審定(複核)、核定檢（抽、查）驗成果有下列情形之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)未配合辦理。</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(二)未依約定期限辦理。</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(三)辦理不確實致有違失。</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(四)無正當</w:t>
            </w:r>
            <w:proofErr w:type="gramStart"/>
            <w:r w:rsidRPr="00FE2AAB">
              <w:rPr>
                <w:rFonts w:ascii="標楷體" w:eastAsia="標楷體" w:hAnsi="標楷體" w:hint="eastAsia"/>
                <w:color w:val="000000" w:themeColor="text1"/>
              </w:rPr>
              <w:t>理由審退施工</w:t>
            </w:r>
            <w:proofErr w:type="gramEnd"/>
            <w:r w:rsidRPr="00FE2AAB">
              <w:rPr>
                <w:rFonts w:ascii="標楷體" w:eastAsia="標楷體" w:hAnsi="標楷體" w:hint="eastAsia"/>
                <w:color w:val="000000" w:themeColor="text1"/>
              </w:rPr>
              <w:t>廠商文件資料二次以上。</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(五)有不當限制競爭或違反法令之情形。</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)有本項第一款至第三款情形之一，經通知限期改善逾期未改善者，或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以上者，扣二點。</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(二)有本項第四、五款情形者，扣十點。</w:t>
            </w:r>
          </w:p>
          <w:p w:rsidR="00DC1B96" w:rsidRPr="00FE2AAB" w:rsidRDefault="00DC1B96" w:rsidP="00CE365B">
            <w:pPr>
              <w:spacing w:line="300" w:lineRule="exact"/>
              <w:jc w:val="both"/>
              <w:rPr>
                <w:rFonts w:ascii="標楷體" w:eastAsia="標楷體" w:hAnsi="標楷體"/>
                <w:color w:val="000000" w:themeColor="text1"/>
              </w:rPr>
            </w:pP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四十</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未依約定期程審查施工廠商各期估驗計價文件資料，或審查不確實經機關或專案管理</w:t>
            </w:r>
            <w:proofErr w:type="gramStart"/>
            <w:r w:rsidRPr="00FE2AAB">
              <w:rPr>
                <w:rFonts w:ascii="標楷體" w:eastAsia="標楷體" w:hAnsi="標楷體" w:hint="eastAsia"/>
                <w:color w:val="000000" w:themeColor="text1"/>
              </w:rPr>
              <w:t>廠商審退二次</w:t>
            </w:r>
            <w:proofErr w:type="gramEnd"/>
            <w:r w:rsidRPr="00FE2AAB">
              <w:rPr>
                <w:rFonts w:ascii="標楷體" w:eastAsia="標楷體" w:hAnsi="標楷體" w:hint="eastAsia"/>
                <w:color w:val="000000" w:themeColor="text1"/>
              </w:rPr>
              <w:t>以上者。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經通知限期改善逾期未改善者，或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以上者，每增加一次扣五點。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lastRenderedPageBreak/>
              <w:t>四十一</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未確實審核施工廠商提送之估驗計價資料，致所監造工程有下列情形之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)巨額工程採購案，超估項目之金額逾該項目原契約價金百分之五以上。</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(二)非巨額工程採購案，超估項目之金額逾該項目原契約價金百分之十以上。</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四十二</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未依約定辦理施工安全衛生、交通維持或環境保護之監督作業者。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經通知限期改善逾期未改善者，扣十點。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四十三</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施工廠商未依契約施工或施工品質有嚴重缺失，而廠商無法證明已善盡監造責任者。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四十四</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因可歸責於廠商之情事，致未依規定時程、程序辦理工程契約變更者。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四十五</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未依約定期限審查並提送竣工圖、工程結算資料及約定之其他文件資料，或因可歸責於廠商之事由，經機關或專案管理</w:t>
            </w:r>
            <w:proofErr w:type="gramStart"/>
            <w:r w:rsidRPr="00FE2AAB">
              <w:rPr>
                <w:rFonts w:ascii="標楷體" w:eastAsia="標楷體" w:hAnsi="標楷體" w:hint="eastAsia"/>
                <w:color w:val="000000" w:themeColor="text1"/>
              </w:rPr>
              <w:t>廠商審退二次</w:t>
            </w:r>
            <w:proofErr w:type="gramEnd"/>
            <w:r w:rsidRPr="00FE2AAB">
              <w:rPr>
                <w:rFonts w:ascii="標楷體" w:eastAsia="標楷體" w:hAnsi="標楷體" w:hint="eastAsia"/>
                <w:color w:val="000000" w:themeColor="text1"/>
              </w:rPr>
              <w:t>以上者。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四十六</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收受竣工通知後，未依約定期限辦理竣工查驗或竣工查驗不實者。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四十七</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未依約定或指示期程審查施工廠商提報之工期展延文件資料，或因可歸責於廠商之事由，經機關或專案管理</w:t>
            </w:r>
            <w:proofErr w:type="gramStart"/>
            <w:r w:rsidRPr="00FE2AAB">
              <w:rPr>
                <w:rFonts w:ascii="標楷體" w:eastAsia="標楷體" w:hAnsi="標楷體" w:hint="eastAsia"/>
                <w:color w:val="000000" w:themeColor="text1"/>
              </w:rPr>
              <w:t>廠商審退二次</w:t>
            </w:r>
            <w:proofErr w:type="gramEnd"/>
            <w:r w:rsidRPr="00FE2AAB">
              <w:rPr>
                <w:rFonts w:ascii="標楷體" w:eastAsia="標楷體" w:hAnsi="標楷體" w:hint="eastAsia"/>
                <w:color w:val="000000" w:themeColor="text1"/>
              </w:rPr>
              <w:t>以上者。</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Times New Roman" w:eastAsia="標楷體" w:hAnsi="標楷體" w:hint="eastAsia"/>
                <w:color w:val="000000" w:themeColor="text1"/>
              </w:rPr>
              <w:t>(</w:t>
            </w:r>
            <w:proofErr w:type="gramStart"/>
            <w:r w:rsidRPr="00FE2AAB">
              <w:rPr>
                <w:rFonts w:ascii="Times New Roman" w:eastAsia="標楷體" w:hAnsi="標楷體" w:hint="eastAsia"/>
                <w:color w:val="000000" w:themeColor="text1"/>
              </w:rPr>
              <w:t>一</w:t>
            </w:r>
            <w:proofErr w:type="gramEnd"/>
            <w:r w:rsidRPr="00FE2AAB">
              <w:rPr>
                <w:rFonts w:ascii="Times New Roman" w:eastAsia="標楷體" w:hAnsi="標楷體" w:hint="eastAsia"/>
                <w:color w:val="000000" w:themeColor="text1"/>
              </w:rPr>
              <w:t>)</w:t>
            </w:r>
            <w:r w:rsidRPr="00FE2AAB">
              <w:rPr>
                <w:rFonts w:ascii="Times New Roman" w:eastAsia="標楷體" w:hAnsi="標楷體"/>
                <w:color w:val="000000" w:themeColor="text1"/>
              </w:rPr>
              <w:t>每逾</w:t>
            </w:r>
            <w:r w:rsidRPr="00FE2AAB">
              <w:rPr>
                <w:rFonts w:ascii="Times New Roman" w:eastAsia="標楷體" w:hAnsi="Times New Roman" w:hint="eastAsia"/>
                <w:color w:val="000000" w:themeColor="text1"/>
              </w:rPr>
              <w:t>一</w:t>
            </w:r>
            <w:r w:rsidRPr="00FE2AAB">
              <w:rPr>
                <w:rFonts w:ascii="Times New Roman" w:eastAsia="標楷體" w:hAnsi="標楷體"/>
                <w:color w:val="000000" w:themeColor="text1"/>
              </w:rPr>
              <w:t>日扣</w:t>
            </w:r>
            <w:r w:rsidRPr="00FE2AAB">
              <w:rPr>
                <w:rFonts w:ascii="Times New Roman" w:eastAsia="標楷體" w:hAnsi="Times New Roman" w:hint="eastAsia"/>
                <w:color w:val="000000" w:themeColor="text1"/>
              </w:rPr>
              <w:t>零點五</w:t>
            </w:r>
            <w:r w:rsidRPr="00FE2AAB">
              <w:rPr>
                <w:rFonts w:ascii="Times New Roman" w:eastAsia="標楷體" w:hAnsi="標楷體"/>
                <w:color w:val="000000" w:themeColor="text1"/>
              </w:rPr>
              <w:t>點</w:t>
            </w:r>
            <w:r w:rsidRPr="00FE2AAB">
              <w:rPr>
                <w:rFonts w:ascii="Times New Roman" w:eastAsia="標楷體" w:hAnsi="標楷體" w:hint="eastAsia"/>
                <w:color w:val="000000" w:themeColor="text1"/>
              </w:rPr>
              <w:t>，</w:t>
            </w:r>
            <w:r w:rsidRPr="00FE2AAB">
              <w:rPr>
                <w:rFonts w:ascii="標楷體" w:eastAsia="標楷體" w:hAnsi="標楷體" w:hint="eastAsia"/>
                <w:color w:val="000000" w:themeColor="text1"/>
              </w:rPr>
              <w:t>經通知限期改善逾期未改善者，</w:t>
            </w:r>
            <w:proofErr w:type="gramStart"/>
            <w:r w:rsidRPr="00FE2AAB">
              <w:rPr>
                <w:rFonts w:ascii="標楷體" w:eastAsia="標楷體" w:hAnsi="標楷體" w:hint="eastAsia"/>
                <w:color w:val="000000" w:themeColor="text1"/>
              </w:rPr>
              <w:t>加扣五點</w:t>
            </w:r>
            <w:proofErr w:type="gramEnd"/>
            <w:r w:rsidRPr="00FE2AAB">
              <w:rPr>
                <w:rFonts w:ascii="Times New Roman" w:eastAsia="標楷體" w:hAnsi="標楷體" w:hint="eastAsia"/>
                <w:color w:val="000000" w:themeColor="text1"/>
              </w:rPr>
              <w:t>。</w:t>
            </w:r>
          </w:p>
          <w:p w:rsidR="00DC1B96" w:rsidRPr="00FE2AAB" w:rsidRDefault="00DC1B96" w:rsidP="00CE365B">
            <w:pPr>
              <w:spacing w:line="300" w:lineRule="exact"/>
              <w:ind w:leftChars="3" w:left="434" w:hangingChars="178" w:hanging="427"/>
              <w:jc w:val="both"/>
              <w:rPr>
                <w:rFonts w:ascii="標楷體" w:eastAsia="標楷體" w:hAnsi="標楷體"/>
                <w:color w:val="000000" w:themeColor="text1"/>
              </w:rPr>
            </w:pPr>
            <w:r w:rsidRPr="00FE2AAB">
              <w:rPr>
                <w:rFonts w:ascii="標楷體" w:eastAsia="標楷體" w:hAnsi="標楷體" w:hint="eastAsia"/>
                <w:color w:val="000000" w:themeColor="text1"/>
              </w:rPr>
              <w:t>(二)</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以上者，每增加一次扣五點。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四十八</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未依約定確實監造或有怠忽監造職責情事，或因可歸責於廠商之事由，致與施工廠商衍生爭議事項者。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四十九</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廠商履約人員有下列情形之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)未依約定設置合格之現場人員、勞工安全衛生人員。</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(二)未依約定或經機關核定之用人計畫辦理。</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(三)未經機關同意擅自變更原核定人員。</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經通知限期改善逾期未改善者，扣十點。</w:t>
            </w:r>
          </w:p>
        </w:tc>
      </w:tr>
      <w:tr w:rsidR="00DC1B96" w:rsidRPr="00FE2AAB" w:rsidTr="00CE365B">
        <w:trPr>
          <w:cantSplit/>
          <w:trHeight w:val="698"/>
        </w:trPr>
        <w:tc>
          <w:tcPr>
            <w:tcW w:w="1120" w:type="dxa"/>
            <w:vMerge w:val="restart"/>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五十</w:t>
            </w:r>
          </w:p>
        </w:tc>
        <w:tc>
          <w:tcPr>
            <w:tcW w:w="3969" w:type="dxa"/>
            <w:vMerge w:val="restart"/>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其他未依約定辦理，經機關認有</w:t>
            </w:r>
            <w:proofErr w:type="gramStart"/>
            <w:r w:rsidRPr="00FE2AAB">
              <w:rPr>
                <w:rFonts w:ascii="標楷體" w:eastAsia="標楷體" w:hAnsi="標楷體" w:hint="eastAsia"/>
                <w:color w:val="000000" w:themeColor="text1"/>
              </w:rPr>
              <w:t>明確違</w:t>
            </w:r>
            <w:proofErr w:type="gramEnd"/>
            <w:r w:rsidRPr="00FE2AAB">
              <w:rPr>
                <w:rFonts w:ascii="標楷體" w:eastAsia="標楷體" w:hAnsi="標楷體" w:hint="eastAsia"/>
                <w:color w:val="000000" w:themeColor="text1"/>
              </w:rPr>
              <w:t>失或延宕</w:t>
            </w:r>
            <w:proofErr w:type="gramStart"/>
            <w:r w:rsidRPr="00FE2AAB">
              <w:rPr>
                <w:rFonts w:ascii="標楷體" w:eastAsia="標楷體" w:hAnsi="標楷體" w:hint="eastAsia"/>
                <w:color w:val="000000" w:themeColor="text1"/>
              </w:rPr>
              <w:t>期程者</w:t>
            </w:r>
            <w:proofErr w:type="gramEnd"/>
            <w:r w:rsidRPr="00FE2AAB">
              <w:rPr>
                <w:rFonts w:ascii="標楷體" w:eastAsia="標楷體" w:hAnsi="標楷體" w:hint="eastAsia"/>
                <w:color w:val="000000" w:themeColor="text1"/>
              </w:rPr>
              <w:t>。</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每次扣十點。</w:t>
            </w:r>
          </w:p>
        </w:tc>
      </w:tr>
      <w:tr w:rsidR="00DC1B96" w:rsidRPr="00FE2AAB" w:rsidTr="00CE365B">
        <w:trPr>
          <w:cantSplit/>
          <w:trHeight w:val="292"/>
        </w:trPr>
        <w:tc>
          <w:tcPr>
            <w:tcW w:w="1120" w:type="dxa"/>
            <w:vMerge/>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rPr>
                <w:rFonts w:ascii="標楷體" w:eastAsia="標楷體" w:hAnsi="標楷體"/>
                <w:color w:val="000000" w:themeColor="text1"/>
              </w:rPr>
            </w:pP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color w:val="000000" w:themeColor="text1"/>
                <w:kern w:val="0"/>
              </w:rPr>
              <w:t>再扣十點並得連續</w:t>
            </w:r>
            <w:r w:rsidRPr="00FE2AAB">
              <w:rPr>
                <w:rFonts w:ascii="Times New Roman" w:eastAsia="標楷體" w:hAnsi="標楷體" w:hint="eastAsia"/>
                <w:color w:val="000000" w:themeColor="text1"/>
                <w:kern w:val="0"/>
              </w:rPr>
              <w:t>扣點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Merge w:val="restart"/>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五十一</w:t>
            </w:r>
          </w:p>
        </w:tc>
        <w:tc>
          <w:tcPr>
            <w:tcW w:w="3969" w:type="dxa"/>
            <w:vMerge w:val="restart"/>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監造廠商未落實督導施工廠商發放工程宣導單及</w:t>
            </w:r>
            <w:r w:rsidRPr="00FE2AAB">
              <w:rPr>
                <w:rFonts w:ascii="Times New Roman" w:eastAsia="標楷體" w:hAnsi="標楷體"/>
                <w:color w:val="000000" w:themeColor="text1"/>
              </w:rPr>
              <w:t>設置工程告示牌者</w:t>
            </w:r>
            <w:r w:rsidRPr="00FE2AAB">
              <w:rPr>
                <w:rFonts w:ascii="Times New Roman" w:eastAsia="標楷體" w:hAnsi="標楷體"/>
                <w:color w:val="000000" w:themeColor="text1"/>
                <w:kern w:val="0"/>
              </w:rPr>
              <w:t>。</w:t>
            </w:r>
          </w:p>
        </w:tc>
        <w:tc>
          <w:tcPr>
            <w:tcW w:w="3670" w:type="dxa"/>
            <w:vAlign w:val="center"/>
          </w:tcPr>
          <w:p w:rsidR="00DC1B96" w:rsidRPr="00FE2AAB" w:rsidRDefault="00DC1B96" w:rsidP="00CE365B">
            <w:pPr>
              <w:adjustRightInd w:val="0"/>
              <w:snapToGrid w:val="0"/>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經抽查滲透率未達</w:t>
            </w:r>
            <w:proofErr w:type="gramStart"/>
            <w:r w:rsidRPr="00FE2AAB">
              <w:rPr>
                <w:rFonts w:ascii="Times New Roman" w:eastAsia="標楷體" w:hAnsi="Times New Roman" w:hint="eastAsia"/>
                <w:color w:val="000000" w:themeColor="text1"/>
                <w:kern w:val="0"/>
              </w:rPr>
              <w:t>百分之百</w:t>
            </w:r>
            <w:r w:rsidRPr="00FE2AAB">
              <w:rPr>
                <w:rFonts w:ascii="Times New Roman" w:eastAsia="標楷體" w:hAnsi="標楷體"/>
                <w:color w:val="000000" w:themeColor="text1"/>
                <w:kern w:val="0"/>
              </w:rPr>
              <w:t>者扣二點</w:t>
            </w:r>
            <w:proofErr w:type="gramEnd"/>
            <w:r w:rsidRPr="00FE2AAB">
              <w:rPr>
                <w:rFonts w:ascii="Times New Roman" w:eastAsia="標楷體" w:hAnsi="標楷體" w:hint="eastAsia"/>
                <w:color w:val="000000" w:themeColor="text1"/>
                <w:kern w:val="0"/>
              </w:rPr>
              <w:t>。</w:t>
            </w:r>
          </w:p>
        </w:tc>
      </w:tr>
      <w:tr w:rsidR="00DC1B96" w:rsidRPr="00FE2AAB" w:rsidTr="00CE365B">
        <w:trPr>
          <w:cantSplit/>
          <w:trHeight w:val="20"/>
        </w:trPr>
        <w:tc>
          <w:tcPr>
            <w:tcW w:w="1120" w:type="dxa"/>
            <w:vMerge/>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p>
        </w:tc>
        <w:tc>
          <w:tcPr>
            <w:tcW w:w="3670" w:type="dxa"/>
            <w:vAlign w:val="center"/>
          </w:tcPr>
          <w:p w:rsidR="00DC1B96" w:rsidRPr="00FE2AAB" w:rsidRDefault="00DC1B96" w:rsidP="00CE365B">
            <w:pPr>
              <w:adjustRightInd w:val="0"/>
              <w:snapToGrid w:val="0"/>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未達</w:t>
            </w:r>
            <w:proofErr w:type="gramStart"/>
            <w:r w:rsidRPr="00FE2AAB">
              <w:rPr>
                <w:rFonts w:ascii="Times New Roman" w:eastAsia="標楷體" w:hAnsi="Times New Roman" w:hint="eastAsia"/>
                <w:color w:val="000000" w:themeColor="text1"/>
                <w:kern w:val="0"/>
              </w:rPr>
              <w:t>百分之八十</w:t>
            </w:r>
            <w:r w:rsidRPr="00FE2AAB">
              <w:rPr>
                <w:rFonts w:ascii="Times New Roman" w:eastAsia="標楷體" w:hAnsi="標楷體"/>
                <w:color w:val="000000" w:themeColor="text1"/>
                <w:kern w:val="0"/>
              </w:rPr>
              <w:t>者扣</w:t>
            </w:r>
            <w:r w:rsidRPr="00FE2AAB">
              <w:rPr>
                <w:rFonts w:ascii="Times New Roman" w:eastAsia="標楷體" w:hAnsi="Times New Roman" w:hint="eastAsia"/>
                <w:color w:val="000000" w:themeColor="text1"/>
                <w:kern w:val="0"/>
              </w:rPr>
              <w:t>四</w:t>
            </w:r>
            <w:r w:rsidRPr="00FE2AAB">
              <w:rPr>
                <w:rFonts w:ascii="Times New Roman" w:eastAsia="標楷體" w:hAnsi="標楷體"/>
                <w:color w:val="000000" w:themeColor="text1"/>
                <w:kern w:val="0"/>
              </w:rPr>
              <w:t>點</w:t>
            </w:r>
            <w:proofErr w:type="gramEnd"/>
            <w:r w:rsidRPr="00FE2AAB">
              <w:rPr>
                <w:rFonts w:ascii="Times New Roman" w:eastAsia="標楷體" w:hAnsi="標楷體" w:hint="eastAsia"/>
                <w:color w:val="000000" w:themeColor="text1"/>
                <w:kern w:val="0"/>
              </w:rPr>
              <w:t>。</w:t>
            </w:r>
          </w:p>
        </w:tc>
      </w:tr>
      <w:tr w:rsidR="00DC1B96" w:rsidRPr="00FE2AAB" w:rsidTr="00CE365B">
        <w:trPr>
          <w:cantSplit/>
          <w:trHeight w:val="20"/>
        </w:trPr>
        <w:tc>
          <w:tcPr>
            <w:tcW w:w="1120" w:type="dxa"/>
            <w:vMerge/>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p>
        </w:tc>
        <w:tc>
          <w:tcPr>
            <w:tcW w:w="3670" w:type="dxa"/>
            <w:vAlign w:val="center"/>
          </w:tcPr>
          <w:p w:rsidR="00DC1B96" w:rsidRPr="00FE2AAB" w:rsidRDefault="00DC1B96" w:rsidP="00CE365B">
            <w:pPr>
              <w:adjustRightInd w:val="0"/>
              <w:snapToGrid w:val="0"/>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未達</w:t>
            </w:r>
            <w:proofErr w:type="gramStart"/>
            <w:r w:rsidRPr="00FE2AAB">
              <w:rPr>
                <w:rFonts w:ascii="Times New Roman" w:eastAsia="標楷體" w:hAnsi="Times New Roman" w:hint="eastAsia"/>
                <w:color w:val="000000" w:themeColor="text1"/>
                <w:kern w:val="0"/>
              </w:rPr>
              <w:t>百分之六十</w:t>
            </w:r>
            <w:r w:rsidRPr="00FE2AAB">
              <w:rPr>
                <w:rFonts w:ascii="Times New Roman" w:eastAsia="標楷體" w:hAnsi="標楷體"/>
                <w:color w:val="000000" w:themeColor="text1"/>
                <w:kern w:val="0"/>
              </w:rPr>
              <w:t>者扣十點</w:t>
            </w:r>
            <w:proofErr w:type="gramEnd"/>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lastRenderedPageBreak/>
              <w:t>五十二</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監造廠商</w:t>
            </w:r>
            <w:r w:rsidRPr="00FE2AAB">
              <w:rPr>
                <w:rFonts w:ascii="Times New Roman" w:eastAsia="標楷體" w:hAnsi="標楷體"/>
                <w:color w:val="000000" w:themeColor="text1"/>
              </w:rPr>
              <w:t>未於開</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派</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工前或未落實督導施工廠商於開工前提送施工計畫、品質計畫</w:t>
            </w:r>
            <w:r w:rsidRPr="00FE2AAB">
              <w:rPr>
                <w:rFonts w:ascii="Times New Roman" w:eastAsia="標楷體" w:hAnsi="標楷體"/>
                <w:color w:val="000000" w:themeColor="text1"/>
                <w:kern w:val="0"/>
              </w:rPr>
              <w:t>。</w:t>
            </w:r>
          </w:p>
        </w:tc>
        <w:tc>
          <w:tcPr>
            <w:tcW w:w="3670" w:type="dxa"/>
            <w:vAlign w:val="center"/>
          </w:tcPr>
          <w:p w:rsidR="00DC1B96" w:rsidRPr="00FE2AAB" w:rsidRDefault="00DC1B96" w:rsidP="00CE365B">
            <w:pPr>
              <w:adjustRightInd w:val="0"/>
              <w:snapToGrid w:val="0"/>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每項扣十點。</w:t>
            </w:r>
          </w:p>
        </w:tc>
      </w:tr>
      <w:tr w:rsidR="00DC1B96" w:rsidRPr="00FE2AAB" w:rsidTr="00CE365B">
        <w:trPr>
          <w:cantSplit/>
          <w:trHeight w:val="20"/>
        </w:trPr>
        <w:tc>
          <w:tcPr>
            <w:tcW w:w="1120" w:type="dxa"/>
            <w:vMerge w:val="restart"/>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五十三</w:t>
            </w:r>
          </w:p>
        </w:tc>
        <w:tc>
          <w:tcPr>
            <w:tcW w:w="3969" w:type="dxa"/>
            <w:vMerge w:val="restart"/>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kern w:val="0"/>
              </w:rPr>
              <w:t>監造廠商監造報表未詳細記載經督導或審查單位列缺失者。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每次扣五點。</w:t>
            </w:r>
          </w:p>
        </w:tc>
      </w:tr>
      <w:tr w:rsidR="00DC1B96" w:rsidRPr="00FE2AAB" w:rsidTr="00CE365B">
        <w:trPr>
          <w:cantSplit/>
          <w:trHeight w:val="20"/>
        </w:trPr>
        <w:tc>
          <w:tcPr>
            <w:tcW w:w="1120" w:type="dxa"/>
            <w:vMerge/>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hint="eastAsia"/>
                <w:color w:val="000000" w:themeColor="text1"/>
              </w:rPr>
              <w:t>再</w:t>
            </w:r>
            <w:r w:rsidRPr="00FE2AAB">
              <w:rPr>
                <w:rFonts w:ascii="Times New Roman" w:eastAsia="標楷體" w:hAnsi="標楷體"/>
                <w:color w:val="000000" w:themeColor="text1"/>
              </w:rPr>
              <w:t>扣十點並得連續</w:t>
            </w:r>
            <w:r w:rsidRPr="00FE2AAB">
              <w:rPr>
                <w:rFonts w:ascii="Times New Roman" w:eastAsia="標楷體" w:hAnsi="標楷體" w:hint="eastAsia"/>
                <w:color w:val="000000" w:themeColor="text1"/>
              </w:rPr>
              <w:t>扣點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Merge w:val="restart"/>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五十四</w:t>
            </w:r>
          </w:p>
        </w:tc>
        <w:tc>
          <w:tcPr>
            <w:tcW w:w="3969" w:type="dxa"/>
            <w:vMerge w:val="restart"/>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kern w:val="0"/>
              </w:rPr>
              <w:t>監造廠商未依各材料設備及施工之檢驗停留點</w:t>
            </w:r>
            <w:r w:rsidRPr="00FE2AAB">
              <w:rPr>
                <w:rFonts w:ascii="標楷體" w:eastAsia="標楷體" w:hAnsi="標楷體" w:cs="新細明體" w:hint="eastAsia"/>
                <w:color w:val="000000" w:themeColor="text1"/>
                <w:kern w:val="0"/>
              </w:rPr>
              <w:t>或檢驗頻率</w:t>
            </w:r>
            <w:r w:rsidRPr="00FE2AAB">
              <w:rPr>
                <w:rFonts w:ascii="Times New Roman" w:eastAsia="標楷體" w:hAnsi="標楷體"/>
                <w:color w:val="000000" w:themeColor="text1"/>
                <w:kern w:val="0"/>
              </w:rPr>
              <w:t>執行，經機關查獲屬實者。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每次扣十點。</w:t>
            </w:r>
          </w:p>
        </w:tc>
      </w:tr>
      <w:tr w:rsidR="00DC1B96" w:rsidRPr="00FE2AAB" w:rsidTr="00CE365B">
        <w:trPr>
          <w:cantSplit/>
          <w:trHeight w:val="20"/>
        </w:trPr>
        <w:tc>
          <w:tcPr>
            <w:tcW w:w="1120" w:type="dxa"/>
            <w:vMerge/>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color w:val="000000" w:themeColor="text1"/>
                <w:kern w:val="0"/>
              </w:rPr>
              <w:t>再扣十點並得連續</w:t>
            </w:r>
            <w:r w:rsidRPr="00FE2AAB">
              <w:rPr>
                <w:rFonts w:ascii="Times New Roman" w:eastAsia="標楷體" w:hAnsi="標楷體" w:hint="eastAsia"/>
                <w:color w:val="000000" w:themeColor="text1"/>
                <w:kern w:val="0"/>
              </w:rPr>
              <w:t>扣點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五十五</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工程施工及停工</w:t>
            </w:r>
            <w:proofErr w:type="gramStart"/>
            <w:r w:rsidRPr="00FE2AAB">
              <w:rPr>
                <w:rFonts w:ascii="Times New Roman" w:eastAsia="標楷體" w:hAnsi="標楷體"/>
                <w:color w:val="000000" w:themeColor="text1"/>
                <w:kern w:val="0"/>
              </w:rPr>
              <w:t>期間，</w:t>
            </w:r>
            <w:proofErr w:type="gramEnd"/>
            <w:r w:rsidRPr="00FE2AAB">
              <w:rPr>
                <w:rFonts w:ascii="Times New Roman" w:eastAsia="標楷體" w:hAnsi="標楷體"/>
                <w:color w:val="000000" w:themeColor="text1"/>
                <w:kern w:val="0"/>
              </w:rPr>
              <w:t>發生工安意外事件。</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扣二十點。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五十六</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hint="eastAsia"/>
                <w:color w:val="000000" w:themeColor="text1"/>
                <w:kern w:val="0"/>
              </w:rPr>
              <w:t>經</w:t>
            </w:r>
            <w:r w:rsidRPr="00FE2AAB">
              <w:rPr>
                <w:rFonts w:ascii="Times New Roman" w:eastAsia="標楷體" w:hAnsi="標楷體"/>
                <w:color w:val="000000" w:themeColor="text1"/>
                <w:kern w:val="0"/>
              </w:rPr>
              <w:t>認定屬重大職</w:t>
            </w:r>
            <w:r w:rsidRPr="00FE2AAB">
              <w:rPr>
                <w:rFonts w:ascii="Times New Roman" w:eastAsia="標楷體" w:hAnsi="標楷體" w:hint="eastAsia"/>
                <w:color w:val="000000" w:themeColor="text1"/>
                <w:kern w:val="0"/>
              </w:rPr>
              <w:t>業</w:t>
            </w:r>
            <w:r w:rsidRPr="00FE2AAB">
              <w:rPr>
                <w:rFonts w:ascii="Times New Roman" w:eastAsia="標楷體" w:hAnsi="標楷體"/>
                <w:color w:val="000000" w:themeColor="text1"/>
                <w:kern w:val="0"/>
              </w:rPr>
              <w:t>災</w:t>
            </w:r>
            <w:r w:rsidRPr="00FE2AAB">
              <w:rPr>
                <w:rFonts w:ascii="Times New Roman" w:eastAsia="標楷體" w:hAnsi="標楷體" w:hint="eastAsia"/>
                <w:color w:val="000000" w:themeColor="text1"/>
                <w:kern w:val="0"/>
              </w:rPr>
              <w:t>害且可</w:t>
            </w:r>
            <w:proofErr w:type="gramStart"/>
            <w:r w:rsidRPr="00FE2AAB">
              <w:rPr>
                <w:rFonts w:ascii="Times New Roman" w:eastAsia="標楷體" w:hAnsi="標楷體" w:hint="eastAsia"/>
                <w:color w:val="000000" w:themeColor="text1"/>
                <w:kern w:val="0"/>
              </w:rPr>
              <w:t>歸責監造</w:t>
            </w:r>
            <w:proofErr w:type="gramEnd"/>
            <w:r w:rsidRPr="00FE2AAB">
              <w:rPr>
                <w:rFonts w:ascii="Times New Roman" w:eastAsia="標楷體" w:hAnsi="標楷體" w:hint="eastAsia"/>
                <w:color w:val="000000" w:themeColor="text1"/>
                <w:kern w:val="0"/>
              </w:rPr>
              <w:t>廠商責任者</w:t>
            </w:r>
            <w:r w:rsidRPr="00FE2AAB">
              <w:rPr>
                <w:rFonts w:ascii="Times New Roman" w:eastAsia="標楷體" w:hAnsi="標楷體"/>
                <w:color w:val="000000" w:themeColor="text1"/>
                <w:kern w:val="0"/>
              </w:rPr>
              <w:t>。</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扣四十點。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五十七</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rPr>
              <w:t>工程查核、督導未依通知期限提送改善報告書者。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rPr>
              <w:t>每逾</w:t>
            </w:r>
            <w:r w:rsidRPr="00FE2AAB">
              <w:rPr>
                <w:rFonts w:ascii="Times New Roman" w:eastAsia="標楷體" w:hAnsi="Times New Roman" w:hint="eastAsia"/>
                <w:color w:val="000000" w:themeColor="text1"/>
              </w:rPr>
              <w:t>一</w:t>
            </w:r>
            <w:r w:rsidRPr="00FE2AAB">
              <w:rPr>
                <w:rFonts w:ascii="Times New Roman" w:eastAsia="標楷體" w:hAnsi="標楷體"/>
                <w:color w:val="000000" w:themeColor="text1"/>
              </w:rPr>
              <w:t>日扣二點。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五十八</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rPr>
            </w:pPr>
            <w:r w:rsidRPr="00FE2AAB">
              <w:rPr>
                <w:rFonts w:ascii="Times New Roman" w:eastAsia="標楷體" w:hAnsi="標楷體"/>
                <w:color w:val="000000" w:themeColor="text1"/>
                <w:kern w:val="0"/>
              </w:rPr>
              <w:t>經媒體、民意代表披露，工程施工品質有損機關形象且可歸責於廠商之事件者。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rPr>
            </w:pPr>
            <w:r w:rsidRPr="00FE2AAB">
              <w:rPr>
                <w:rFonts w:ascii="Times New Roman" w:eastAsia="標楷體" w:hAnsi="標楷體"/>
                <w:color w:val="000000" w:themeColor="text1"/>
                <w:kern w:val="0"/>
              </w:rPr>
              <w:t>每次扣十點。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五十九</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rPr>
            </w:pPr>
            <w:r w:rsidRPr="00FE2AAB">
              <w:rPr>
                <w:rFonts w:ascii="Times New Roman" w:eastAsia="標楷體" w:hAnsi="標楷體"/>
                <w:color w:val="000000" w:themeColor="text1"/>
              </w:rPr>
              <w:t>履約期間內工地應擔任專職人員有不當兼職之情形者。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每人扣</w:t>
            </w:r>
            <w:r w:rsidRPr="00FE2AAB">
              <w:rPr>
                <w:rFonts w:ascii="Times New Roman" w:eastAsia="標楷體" w:hAnsi="Times New Roman" w:hint="eastAsia"/>
                <w:color w:val="000000" w:themeColor="text1"/>
                <w:kern w:val="0"/>
              </w:rPr>
              <w:t>十</w:t>
            </w:r>
            <w:r w:rsidRPr="00FE2AAB">
              <w:rPr>
                <w:rFonts w:ascii="Times New Roman" w:eastAsia="標楷體" w:hAnsi="標楷體"/>
                <w:color w:val="000000" w:themeColor="text1"/>
                <w:kern w:val="0"/>
              </w:rPr>
              <w:t>點；</w:t>
            </w: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color w:val="000000" w:themeColor="text1"/>
                <w:kern w:val="0"/>
              </w:rPr>
              <w:t>得按日扣</w:t>
            </w:r>
            <w:r w:rsidRPr="00FE2AAB">
              <w:rPr>
                <w:rFonts w:ascii="Times New Roman" w:eastAsia="標楷體" w:hAnsi="標楷體" w:hint="eastAsia"/>
                <w:color w:val="000000" w:themeColor="text1"/>
                <w:kern w:val="0"/>
              </w:rPr>
              <w:t>點</w:t>
            </w:r>
            <w:r w:rsidRPr="00FE2AAB">
              <w:rPr>
                <w:rFonts w:ascii="Times New Roman" w:eastAsia="標楷體" w:hAnsi="標楷體"/>
                <w:color w:val="000000" w:themeColor="text1"/>
                <w:kern w:val="0"/>
              </w:rPr>
              <w:t>至改善</w:t>
            </w:r>
            <w:r w:rsidRPr="00FE2AAB">
              <w:rPr>
                <w:rFonts w:ascii="Times New Roman" w:eastAsia="標楷體" w:hAnsi="標楷體" w:hint="eastAsia"/>
                <w:color w:val="000000" w:themeColor="text1"/>
                <w:kern w:val="0"/>
              </w:rPr>
              <w:t>止。</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w:t>
            </w:r>
          </w:p>
        </w:tc>
        <w:tc>
          <w:tcPr>
            <w:tcW w:w="3969" w:type="dxa"/>
            <w:vAlign w:val="center"/>
          </w:tcPr>
          <w:p w:rsidR="00DC1B96" w:rsidRPr="00FE2AAB" w:rsidRDefault="00DC1B96" w:rsidP="00CE365B">
            <w:pPr>
              <w:adjustRightInd w:val="0"/>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rPr>
              <w:t>監造廠商或承攬廠商未落實工程材料會同取樣、送驗</w:t>
            </w:r>
            <w:r w:rsidRPr="00FE2AAB">
              <w:rPr>
                <w:rFonts w:ascii="Times New Roman" w:eastAsia="標楷體" w:hAnsi="標楷體" w:hint="eastAsia"/>
                <w:color w:val="000000" w:themeColor="text1"/>
              </w:rPr>
              <w:t>、</w:t>
            </w:r>
            <w:proofErr w:type="gramStart"/>
            <w:r w:rsidRPr="00FE2AAB">
              <w:rPr>
                <w:rFonts w:ascii="Times New Roman" w:eastAsia="標楷體" w:hAnsi="標楷體"/>
                <w:color w:val="000000" w:themeColor="text1"/>
              </w:rPr>
              <w:t>會驗</w:t>
            </w:r>
            <w:r w:rsidRPr="00FE2AAB">
              <w:rPr>
                <w:rFonts w:ascii="Times New Roman" w:eastAsia="標楷體" w:hAnsi="標楷體" w:hint="eastAsia"/>
                <w:color w:val="000000" w:themeColor="text1"/>
              </w:rPr>
              <w:t>及</w:t>
            </w:r>
            <w:proofErr w:type="gramEnd"/>
            <w:r w:rsidRPr="00FE2AAB">
              <w:rPr>
                <w:rFonts w:ascii="Times New Roman" w:eastAsia="標楷體" w:hAnsi="標楷體"/>
                <w:color w:val="000000" w:themeColor="text1"/>
              </w:rPr>
              <w:t>由品管人員</w:t>
            </w:r>
            <w:r w:rsidRPr="00FE2AAB">
              <w:rPr>
                <w:rFonts w:ascii="Times New Roman" w:eastAsia="標楷體" w:hAnsi="標楷體" w:hint="eastAsia"/>
                <w:color w:val="000000" w:themeColor="text1"/>
              </w:rPr>
              <w:t>與</w:t>
            </w:r>
            <w:r w:rsidRPr="00FE2AAB">
              <w:rPr>
                <w:rFonts w:ascii="Times New Roman" w:eastAsia="標楷體" w:hAnsi="標楷體"/>
                <w:color w:val="000000" w:themeColor="text1"/>
              </w:rPr>
              <w:t>監造廠商判定材料抽</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檢</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驗結果者。</w:t>
            </w:r>
          </w:p>
        </w:tc>
        <w:tc>
          <w:tcPr>
            <w:tcW w:w="3670" w:type="dxa"/>
            <w:vAlign w:val="center"/>
          </w:tcPr>
          <w:p w:rsidR="00DC1B96" w:rsidRPr="00FE2AAB" w:rsidRDefault="00DC1B96" w:rsidP="00CE365B">
            <w:pPr>
              <w:spacing w:line="300" w:lineRule="exact"/>
              <w:ind w:leftChars="23" w:left="55"/>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rPr>
              <w:t>每次扣</w:t>
            </w:r>
            <w:r w:rsidRPr="00FE2AAB">
              <w:rPr>
                <w:rFonts w:ascii="Times New Roman" w:eastAsia="標楷體" w:hAnsi="Times New Roman" w:hint="eastAsia"/>
                <w:color w:val="000000" w:themeColor="text1"/>
              </w:rPr>
              <w:t>五</w:t>
            </w:r>
            <w:r w:rsidRPr="00FE2AAB">
              <w:rPr>
                <w:rFonts w:ascii="Times New Roman" w:eastAsia="標楷體" w:hAnsi="標楷體"/>
                <w:color w:val="000000" w:themeColor="text1"/>
              </w:rPr>
              <w:t>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六十一</w:t>
            </w:r>
          </w:p>
        </w:tc>
        <w:tc>
          <w:tcPr>
            <w:tcW w:w="3969" w:type="dxa"/>
            <w:vAlign w:val="center"/>
          </w:tcPr>
          <w:p w:rsidR="00DC1B96" w:rsidRPr="00FE2AAB" w:rsidRDefault="00DC1B96" w:rsidP="00CE365B">
            <w:pPr>
              <w:spacing w:line="300" w:lineRule="exact"/>
              <w:ind w:leftChars="59" w:left="142"/>
              <w:jc w:val="both"/>
              <w:textAlignment w:val="bottom"/>
              <w:rPr>
                <w:rFonts w:ascii="Times New Roman" w:eastAsia="標楷體" w:hAnsi="標楷體"/>
                <w:color w:val="000000" w:themeColor="text1"/>
              </w:rPr>
            </w:pPr>
            <w:r w:rsidRPr="00FE2AAB">
              <w:rPr>
                <w:rFonts w:ascii="Times New Roman" w:eastAsia="標楷體" w:hAnsi="標楷體"/>
                <w:color w:val="000000" w:themeColor="text1"/>
              </w:rPr>
              <w:t>其他可歸責於廠商之情形。</w:t>
            </w:r>
          </w:p>
        </w:tc>
        <w:tc>
          <w:tcPr>
            <w:tcW w:w="3670" w:type="dxa"/>
            <w:vAlign w:val="center"/>
          </w:tcPr>
          <w:p w:rsidR="00DC1B96" w:rsidRPr="00FE2AAB" w:rsidRDefault="00DC1B96" w:rsidP="00CE365B">
            <w:pPr>
              <w:spacing w:line="300" w:lineRule="exact"/>
              <w:ind w:leftChars="27" w:left="65"/>
              <w:jc w:val="both"/>
              <w:textAlignment w:val="bottom"/>
              <w:rPr>
                <w:rFonts w:ascii="Times New Roman" w:eastAsia="標楷體" w:hAnsi="標楷體"/>
                <w:color w:val="000000" w:themeColor="text1"/>
              </w:rPr>
            </w:pPr>
            <w:r w:rsidRPr="00FE2AAB">
              <w:rPr>
                <w:rFonts w:ascii="Times New Roman" w:eastAsia="標楷體" w:hAnsi="標楷體"/>
                <w:color w:val="000000" w:themeColor="text1"/>
              </w:rPr>
              <w:t>每次扣</w:t>
            </w:r>
            <w:r w:rsidRPr="00FE2AAB">
              <w:rPr>
                <w:rFonts w:ascii="Times New Roman" w:eastAsia="標楷體" w:hAnsi="Times New Roman" w:hint="eastAsia"/>
                <w:color w:val="000000" w:themeColor="text1"/>
              </w:rPr>
              <w:t>五</w:t>
            </w:r>
            <w:r w:rsidRPr="00FE2AAB">
              <w:rPr>
                <w:rFonts w:ascii="Times New Roman" w:eastAsia="標楷體" w:hAnsi="標楷體"/>
                <w:color w:val="000000" w:themeColor="text1"/>
              </w:rPr>
              <w:t>點</w:t>
            </w:r>
            <w:r w:rsidRPr="00FE2AAB">
              <w:rPr>
                <w:rFonts w:ascii="Times New Roman" w:eastAsia="標楷體" w:hAnsi="標楷體" w:hint="eastAsia"/>
                <w:color w:val="000000" w:themeColor="text1"/>
              </w:rPr>
              <w:t>至十點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ind w:leftChars="59" w:left="142"/>
              <w:jc w:val="both"/>
              <w:textAlignment w:val="bottom"/>
              <w:rPr>
                <w:rFonts w:ascii="Times New Roman" w:eastAsia="標楷體" w:hAnsi="標楷體"/>
                <w:color w:val="000000" w:themeColor="text1"/>
              </w:rPr>
            </w:pPr>
            <w:r w:rsidRPr="00FE2AAB">
              <w:rPr>
                <w:rFonts w:ascii="Times New Roman" w:eastAsia="標楷體" w:hAnsi="標楷體" w:hint="eastAsia"/>
                <w:color w:val="000000" w:themeColor="text1"/>
              </w:rPr>
              <w:t>廠商辦理專案管理</w:t>
            </w:r>
            <w:r w:rsidRPr="00FE2AAB">
              <w:rPr>
                <w:rFonts w:ascii="Times New Roman" w:eastAsia="標楷體" w:hAnsi="標楷體" w:hint="eastAsia"/>
                <w:color w:val="000000" w:themeColor="text1"/>
                <w:kern w:val="0"/>
              </w:rPr>
              <w:t>有下列不良情事者</w:t>
            </w:r>
            <w:r w:rsidRPr="00FE2AAB">
              <w:rPr>
                <w:rFonts w:ascii="Times New Roman" w:eastAsia="標楷體" w:hAnsi="標楷體" w:hint="eastAsia"/>
                <w:color w:val="000000" w:themeColor="text1"/>
              </w:rPr>
              <w:t>，</w:t>
            </w:r>
            <w:r w:rsidRPr="00FE2AAB">
              <w:rPr>
                <w:rFonts w:ascii="Times New Roman" w:eastAsia="標楷體" w:hAnsi="標楷體"/>
                <w:color w:val="000000" w:themeColor="text1"/>
                <w:kern w:val="0"/>
              </w:rPr>
              <w:t>依</w:t>
            </w:r>
            <w:r w:rsidRPr="00FE2AAB">
              <w:rPr>
                <w:rFonts w:ascii="Times New Roman" w:eastAsia="標楷體" w:hAnsi="標楷體" w:hint="eastAsia"/>
                <w:color w:val="000000" w:themeColor="text1"/>
                <w:kern w:val="0"/>
              </w:rPr>
              <w:t>各項規定</w:t>
            </w:r>
            <w:r w:rsidRPr="00FE2AAB">
              <w:rPr>
                <w:rFonts w:ascii="Times New Roman" w:eastAsia="標楷體" w:hAnsi="標楷體"/>
                <w:color w:val="000000" w:themeColor="text1"/>
                <w:kern w:val="0"/>
              </w:rPr>
              <w:t>扣</w:t>
            </w:r>
            <w:r w:rsidRPr="00FE2AAB">
              <w:rPr>
                <w:rFonts w:ascii="Times New Roman" w:eastAsia="標楷體" w:hAnsi="標楷體" w:hint="eastAsia"/>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六十二</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提送分析評估、</w:t>
            </w:r>
            <w:proofErr w:type="gramStart"/>
            <w:r w:rsidRPr="00FE2AAB">
              <w:rPr>
                <w:rFonts w:ascii="標楷體" w:eastAsia="標楷體" w:hAnsi="標楷體" w:hint="eastAsia"/>
                <w:color w:val="000000" w:themeColor="text1"/>
              </w:rPr>
              <w:t>研</w:t>
            </w:r>
            <w:proofErr w:type="gramEnd"/>
            <w:r w:rsidRPr="00FE2AAB">
              <w:rPr>
                <w:rFonts w:ascii="標楷體" w:eastAsia="標楷體" w:hAnsi="標楷體" w:hint="eastAsia"/>
                <w:color w:val="000000" w:themeColor="text1"/>
              </w:rPr>
              <w:t>訂或建議事項報告等文件資料有下列情形之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)未依約定期限提送。</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(二)提送文件資料經審查認有應修正、補正，而未依約定期限或通知期限辦理。</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(三)因可歸責於廠商之事由，經</w:t>
            </w:r>
            <w:proofErr w:type="gramStart"/>
            <w:r w:rsidRPr="00FE2AAB">
              <w:rPr>
                <w:rFonts w:ascii="標楷體" w:eastAsia="標楷體" w:hAnsi="標楷體" w:hint="eastAsia"/>
                <w:color w:val="000000" w:themeColor="text1"/>
              </w:rPr>
              <w:t>機關審退二次</w:t>
            </w:r>
            <w:proofErr w:type="gramEnd"/>
            <w:r w:rsidRPr="00FE2AAB">
              <w:rPr>
                <w:rFonts w:ascii="標楷體" w:eastAsia="標楷體" w:hAnsi="標楷體" w:hint="eastAsia"/>
                <w:color w:val="000000" w:themeColor="text1"/>
              </w:rPr>
              <w:t>以上。</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標楷體" w:eastAsia="標楷體" w:hAnsi="標楷體" w:hint="eastAsia"/>
                <w:color w:val="000000" w:themeColor="text1"/>
              </w:rPr>
              <w:t>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以上者，扣二點。</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(二)第二</w:t>
            </w:r>
            <w:proofErr w:type="gramStart"/>
            <w:r w:rsidRPr="00FE2AAB">
              <w:rPr>
                <w:rFonts w:ascii="標楷體" w:eastAsia="標楷體" w:hAnsi="標楷體" w:hint="eastAsia"/>
                <w:color w:val="000000" w:themeColor="text1"/>
              </w:rPr>
              <w:t>次審退</w:t>
            </w:r>
            <w:proofErr w:type="gramEnd"/>
            <w:r w:rsidRPr="00FE2AAB">
              <w:rPr>
                <w:rFonts w:ascii="標楷體" w:eastAsia="標楷體" w:hAnsi="標楷體" w:hint="eastAsia"/>
                <w:color w:val="000000" w:themeColor="text1"/>
              </w:rPr>
              <w:t>以後，每增加一次，再扣二點。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六十三</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應審查、審定(複核)或核定之文件資料有下列情形之</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)未依約定期限辦理。</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(二)辦理不確實致有違失。</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(三)無正當</w:t>
            </w:r>
            <w:proofErr w:type="gramStart"/>
            <w:r w:rsidRPr="00FE2AAB">
              <w:rPr>
                <w:rFonts w:ascii="標楷體" w:eastAsia="標楷體" w:hAnsi="標楷體" w:hint="eastAsia"/>
                <w:color w:val="000000" w:themeColor="text1"/>
              </w:rPr>
              <w:t>理由審退可行性</w:t>
            </w:r>
            <w:proofErr w:type="gramEnd"/>
            <w:r w:rsidRPr="00FE2AAB">
              <w:rPr>
                <w:rFonts w:ascii="標楷體" w:eastAsia="標楷體" w:hAnsi="標楷體" w:hint="eastAsia"/>
                <w:color w:val="000000" w:themeColor="text1"/>
              </w:rPr>
              <w:t>研究、規劃、設計、監造廠商或施工廠商之文件資料二次以上。</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(四)有不當限制競爭或違反法令之情形。</w:t>
            </w:r>
          </w:p>
        </w:tc>
        <w:tc>
          <w:tcPr>
            <w:tcW w:w="3670" w:type="dxa"/>
            <w:vAlign w:val="center"/>
          </w:tcPr>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)有本項第一款至第三款情形之一，經通知限期改善逾期未改善者</w:t>
            </w:r>
            <w:r w:rsidRPr="00FE2AAB">
              <w:rPr>
                <w:rFonts w:ascii="Times New Roman" w:eastAsia="標楷體" w:hAnsi="標楷體"/>
                <w:color w:val="000000" w:themeColor="text1"/>
              </w:rPr>
              <w:t>，</w:t>
            </w:r>
            <w:r w:rsidRPr="00FE2AAB">
              <w:rPr>
                <w:rFonts w:ascii="標楷體" w:eastAsia="標楷體" w:hAnsi="標楷體" w:hint="eastAsia"/>
                <w:color w:val="000000" w:themeColor="text1"/>
              </w:rPr>
              <w:t>或</w:t>
            </w:r>
            <w:proofErr w:type="gramStart"/>
            <w:r w:rsidRPr="00FE2AAB">
              <w:rPr>
                <w:rFonts w:ascii="標楷體" w:eastAsia="標楷體" w:hAnsi="標楷體" w:hint="eastAsia"/>
                <w:color w:val="000000" w:themeColor="text1"/>
              </w:rPr>
              <w:t>經審退二次</w:t>
            </w:r>
            <w:proofErr w:type="gramEnd"/>
            <w:r w:rsidRPr="00FE2AAB">
              <w:rPr>
                <w:rFonts w:ascii="標楷體" w:eastAsia="標楷體" w:hAnsi="標楷體" w:hint="eastAsia"/>
                <w:color w:val="000000" w:themeColor="text1"/>
              </w:rPr>
              <w:t>以上者，扣二點。</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(二)有本項第四款情形者，扣十點。</w:t>
            </w:r>
          </w:p>
          <w:p w:rsidR="00DC1B96" w:rsidRPr="00FE2AAB" w:rsidRDefault="00DC1B96" w:rsidP="00CE365B">
            <w:pPr>
              <w:spacing w:line="300" w:lineRule="exact"/>
              <w:jc w:val="both"/>
              <w:rPr>
                <w:rFonts w:ascii="標楷體" w:eastAsia="標楷體" w:hAnsi="標楷體"/>
                <w:color w:val="000000" w:themeColor="text1"/>
              </w:rPr>
            </w:pP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lastRenderedPageBreak/>
              <w:t>六十四</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各工作項目界面之協調及整合不善，</w:t>
            </w:r>
            <w:proofErr w:type="gramStart"/>
            <w:r w:rsidRPr="00FE2AAB">
              <w:rPr>
                <w:rFonts w:ascii="標楷體" w:eastAsia="標楷體" w:hAnsi="標楷體" w:hint="eastAsia"/>
                <w:color w:val="000000" w:themeColor="text1"/>
              </w:rPr>
              <w:t>或品管事</w:t>
            </w:r>
            <w:proofErr w:type="gramEnd"/>
            <w:r w:rsidRPr="00FE2AAB">
              <w:rPr>
                <w:rFonts w:ascii="標楷體" w:eastAsia="標楷體" w:hAnsi="標楷體" w:hint="eastAsia"/>
                <w:color w:val="000000" w:themeColor="text1"/>
              </w:rPr>
              <w:t>項、安全衛生、交通維持及環境保護之督導不周，或未協助機關處理工程爭議者。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標楷體" w:eastAsia="標楷體" w:hAnsi="標楷體" w:hint="eastAsia"/>
                <w:color w:val="000000" w:themeColor="text1"/>
              </w:rPr>
              <w:t>扣五點。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六十五</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未依約定辦理文件檔案管理、工程管理、定期召開工程協調會議或其他應辦理及協助事項者。</w:t>
            </w:r>
          </w:p>
        </w:tc>
        <w:tc>
          <w:tcPr>
            <w:tcW w:w="3670"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標楷體" w:eastAsia="標楷體" w:hAnsi="標楷體" w:hint="eastAsia"/>
                <w:color w:val="000000" w:themeColor="text1"/>
              </w:rPr>
              <w:t>扣五點。</w:t>
            </w:r>
          </w:p>
        </w:tc>
      </w:tr>
      <w:tr w:rsidR="00DC1B96" w:rsidRPr="00FE2AAB" w:rsidTr="00CE365B">
        <w:trPr>
          <w:cantSplit/>
          <w:trHeight w:val="425"/>
        </w:trPr>
        <w:tc>
          <w:tcPr>
            <w:tcW w:w="1120" w:type="dxa"/>
            <w:vMerge w:val="restart"/>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六十六</w:t>
            </w:r>
          </w:p>
        </w:tc>
        <w:tc>
          <w:tcPr>
            <w:tcW w:w="3969" w:type="dxa"/>
            <w:vMerge w:val="restart"/>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其他未依約定辦理，經機關認有</w:t>
            </w:r>
            <w:proofErr w:type="gramStart"/>
            <w:r w:rsidRPr="00FE2AAB">
              <w:rPr>
                <w:rFonts w:ascii="標楷體" w:eastAsia="標楷體" w:hAnsi="標楷體" w:hint="eastAsia"/>
                <w:color w:val="000000" w:themeColor="text1"/>
              </w:rPr>
              <w:t>明確違</w:t>
            </w:r>
            <w:proofErr w:type="gramEnd"/>
            <w:r w:rsidRPr="00FE2AAB">
              <w:rPr>
                <w:rFonts w:ascii="標楷體" w:eastAsia="標楷體" w:hAnsi="標楷體" w:hint="eastAsia"/>
                <w:color w:val="000000" w:themeColor="text1"/>
              </w:rPr>
              <w:t>失或延宕</w:t>
            </w:r>
            <w:proofErr w:type="gramStart"/>
            <w:r w:rsidRPr="00FE2AAB">
              <w:rPr>
                <w:rFonts w:ascii="標楷體" w:eastAsia="標楷體" w:hAnsi="標楷體" w:hint="eastAsia"/>
                <w:color w:val="000000" w:themeColor="text1"/>
              </w:rPr>
              <w:t>期程者</w:t>
            </w:r>
            <w:proofErr w:type="gramEnd"/>
            <w:r w:rsidRPr="00FE2AAB">
              <w:rPr>
                <w:rFonts w:ascii="標楷體" w:eastAsia="標楷體" w:hAnsi="標楷體" w:hint="eastAsia"/>
                <w:color w:val="000000" w:themeColor="text1"/>
              </w:rPr>
              <w:t>。</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w:t>
            </w:r>
            <w:r w:rsidRPr="00FE2AAB">
              <w:rPr>
                <w:rFonts w:ascii="Times New Roman" w:eastAsia="標楷體" w:hAnsi="標楷體" w:hint="eastAsia"/>
                <w:color w:val="000000" w:themeColor="text1"/>
                <w:kern w:val="0"/>
              </w:rPr>
              <w:t>五點至</w:t>
            </w:r>
            <w:r w:rsidRPr="00FE2AAB">
              <w:rPr>
                <w:rFonts w:ascii="Times New Roman" w:eastAsia="標楷體" w:hAnsi="標楷體"/>
                <w:color w:val="000000" w:themeColor="text1"/>
                <w:kern w:val="0"/>
              </w:rPr>
              <w:t>十點。</w:t>
            </w:r>
          </w:p>
        </w:tc>
      </w:tr>
      <w:tr w:rsidR="00DC1B96" w:rsidRPr="00FE2AAB" w:rsidTr="00CE365B">
        <w:trPr>
          <w:cantSplit/>
          <w:trHeight w:val="552"/>
        </w:trPr>
        <w:tc>
          <w:tcPr>
            <w:tcW w:w="1120" w:type="dxa"/>
            <w:vMerge/>
            <w:vAlign w:val="center"/>
          </w:tcPr>
          <w:p w:rsidR="00DC1B96" w:rsidRPr="00FE2AAB" w:rsidRDefault="00DC1B96" w:rsidP="00CE365B">
            <w:pPr>
              <w:jc w:val="center"/>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rPr>
                <w:rFonts w:ascii="標楷體" w:eastAsia="標楷體" w:hAnsi="標楷體"/>
                <w:color w:val="000000" w:themeColor="text1"/>
              </w:rPr>
            </w:pP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color w:val="000000" w:themeColor="text1"/>
                <w:kern w:val="0"/>
              </w:rPr>
              <w:t>再扣</w:t>
            </w:r>
            <w:r w:rsidRPr="00FE2AAB">
              <w:rPr>
                <w:rFonts w:ascii="Times New Roman" w:eastAsia="標楷體" w:hAnsi="標楷體" w:hint="eastAsia"/>
                <w:color w:val="000000" w:themeColor="text1"/>
                <w:kern w:val="0"/>
              </w:rPr>
              <w:t>五點至</w:t>
            </w:r>
            <w:r w:rsidRPr="00FE2AAB">
              <w:rPr>
                <w:rFonts w:ascii="Times New Roman" w:eastAsia="標楷體" w:hAnsi="標楷體"/>
                <w:color w:val="000000" w:themeColor="text1"/>
                <w:kern w:val="0"/>
              </w:rPr>
              <w:t>十點並得連續</w:t>
            </w:r>
            <w:r w:rsidRPr="00FE2AAB">
              <w:rPr>
                <w:rFonts w:ascii="Times New Roman" w:eastAsia="標楷體" w:hAnsi="標楷體" w:hint="eastAsia"/>
                <w:color w:val="000000" w:themeColor="text1"/>
                <w:kern w:val="0"/>
              </w:rPr>
              <w:t>扣點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六十七</w:t>
            </w:r>
          </w:p>
        </w:tc>
        <w:tc>
          <w:tcPr>
            <w:tcW w:w="3969" w:type="dxa"/>
            <w:vAlign w:val="center"/>
          </w:tcPr>
          <w:p w:rsidR="00DC1B96" w:rsidRPr="00FE2AAB" w:rsidRDefault="00DC1B96" w:rsidP="00CE365B">
            <w:pPr>
              <w:spacing w:line="300" w:lineRule="exact"/>
              <w:jc w:val="both"/>
              <w:textAlignment w:val="bottom"/>
              <w:rPr>
                <w:rFonts w:ascii="標楷體" w:eastAsia="標楷體" w:hAnsi="標楷體"/>
                <w:color w:val="000000" w:themeColor="text1"/>
              </w:rPr>
            </w:pPr>
            <w:r w:rsidRPr="00FE2AAB">
              <w:rPr>
                <w:rFonts w:ascii="標楷體" w:eastAsia="標楷體" w:hAnsi="標楷體" w:hint="eastAsia"/>
                <w:color w:val="000000" w:themeColor="text1"/>
              </w:rPr>
              <w:t>未依約定或機關核定之用人計畫辦理，或未經機關同意擅自變更原核定人員者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標楷體" w:eastAsia="標楷體" w:hAnsi="標楷體" w:hint="eastAsia"/>
                <w:color w:val="000000" w:themeColor="text1"/>
              </w:rPr>
              <w:t>扣二點</w:t>
            </w:r>
            <w:r w:rsidRPr="00FE2AAB">
              <w:rPr>
                <w:rFonts w:ascii="Times New Roman" w:eastAsia="標楷體" w:hAnsi="標楷體" w:hint="eastAsia"/>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hint="eastAsia"/>
                <w:color w:val="000000" w:themeColor="text1"/>
                <w:kern w:val="0"/>
              </w:rPr>
              <w:t>六十八</w:t>
            </w:r>
          </w:p>
        </w:tc>
        <w:tc>
          <w:tcPr>
            <w:tcW w:w="3969" w:type="dxa"/>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因可歸責於廠商之事由，致機關遭受下列損害或</w:t>
            </w:r>
            <w:proofErr w:type="gramStart"/>
            <w:r w:rsidRPr="00FE2AAB">
              <w:rPr>
                <w:rFonts w:ascii="標楷體" w:eastAsia="標楷體" w:hAnsi="標楷體" w:hint="eastAsia"/>
                <w:color w:val="000000" w:themeColor="text1"/>
              </w:rPr>
              <w:t>不</w:t>
            </w:r>
            <w:proofErr w:type="gramEnd"/>
            <w:r w:rsidRPr="00FE2AAB">
              <w:rPr>
                <w:rFonts w:ascii="標楷體" w:eastAsia="標楷體" w:hAnsi="標楷體" w:hint="eastAsia"/>
                <w:color w:val="000000" w:themeColor="text1"/>
              </w:rPr>
              <w:t>利益者：</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w:t>
            </w:r>
            <w:proofErr w:type="gramStart"/>
            <w:r w:rsidRPr="00FE2AAB">
              <w:rPr>
                <w:rFonts w:ascii="標楷體" w:eastAsia="標楷體" w:hAnsi="標楷體" w:hint="eastAsia"/>
                <w:color w:val="000000" w:themeColor="text1"/>
              </w:rPr>
              <w:t>一</w:t>
            </w:r>
            <w:proofErr w:type="gramEnd"/>
            <w:r w:rsidRPr="00FE2AAB">
              <w:rPr>
                <w:rFonts w:ascii="標楷體" w:eastAsia="標楷體" w:hAnsi="標楷體" w:hint="eastAsia"/>
                <w:color w:val="000000" w:themeColor="text1"/>
              </w:rPr>
              <w:t>)採購案遲延或無法開標、決標。</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(二)延誤工程進度或驗收結案期程。</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(三)機關額外支出費用。</w:t>
            </w:r>
          </w:p>
          <w:p w:rsidR="00DC1B96" w:rsidRPr="00FE2AAB" w:rsidRDefault="00DC1B96" w:rsidP="00CE365B">
            <w:pPr>
              <w:spacing w:line="300" w:lineRule="exact"/>
              <w:ind w:left="434" w:hangingChars="181" w:hanging="434"/>
              <w:jc w:val="both"/>
              <w:rPr>
                <w:rFonts w:ascii="標楷體" w:eastAsia="標楷體" w:hAnsi="標楷體"/>
                <w:color w:val="000000" w:themeColor="text1"/>
              </w:rPr>
            </w:pPr>
            <w:r w:rsidRPr="00FE2AAB">
              <w:rPr>
                <w:rFonts w:ascii="標楷體" w:eastAsia="標楷體" w:hAnsi="標楷體" w:hint="eastAsia"/>
                <w:color w:val="000000" w:themeColor="text1"/>
              </w:rPr>
              <w:t>(四)施工或供應之廠商向機關請求賠償。</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(五)發生事故造成損害。</w:t>
            </w:r>
          </w:p>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(六)其他損害。</w:t>
            </w:r>
          </w:p>
        </w:tc>
        <w:tc>
          <w:tcPr>
            <w:tcW w:w="3670" w:type="dxa"/>
            <w:vAlign w:val="center"/>
          </w:tcPr>
          <w:p w:rsidR="00DC1B96" w:rsidRPr="00FE2AAB" w:rsidRDefault="00DC1B96" w:rsidP="00CE365B">
            <w:pPr>
              <w:spacing w:line="300" w:lineRule="exact"/>
              <w:jc w:val="both"/>
              <w:rPr>
                <w:rFonts w:ascii="Times New Roman" w:eastAsia="標楷體" w:hAnsi="標楷體"/>
                <w:color w:val="000000" w:themeColor="text1"/>
                <w:kern w:val="0"/>
              </w:rPr>
            </w:pPr>
            <w:r w:rsidRPr="00FE2AAB">
              <w:rPr>
                <w:rFonts w:ascii="標楷體" w:eastAsia="標楷體" w:hAnsi="標楷體" w:hint="eastAsia"/>
                <w:color w:val="000000" w:themeColor="text1"/>
              </w:rPr>
              <w:t>扣十點。</w:t>
            </w:r>
          </w:p>
        </w:tc>
      </w:tr>
      <w:tr w:rsidR="00DC1B96" w:rsidRPr="00FE2AAB" w:rsidTr="00CE365B">
        <w:trPr>
          <w:cantSplit/>
          <w:trHeight w:val="755"/>
        </w:trPr>
        <w:tc>
          <w:tcPr>
            <w:tcW w:w="1120" w:type="dxa"/>
            <w:vMerge w:val="restart"/>
            <w:vAlign w:val="center"/>
          </w:tcPr>
          <w:p w:rsidR="00DC1B96" w:rsidRPr="00FE2AAB" w:rsidRDefault="00DC1B96" w:rsidP="00CE365B">
            <w:pPr>
              <w:jc w:val="center"/>
              <w:rPr>
                <w:rFonts w:ascii="Times New Roman" w:eastAsia="標楷體" w:hAnsi="Times New Roman"/>
                <w:color w:val="000000" w:themeColor="text1"/>
                <w:kern w:val="0"/>
              </w:rPr>
            </w:pPr>
            <w:r w:rsidRPr="00FE2AAB">
              <w:rPr>
                <w:rFonts w:ascii="Times New Roman" w:eastAsia="標楷體" w:hAnsi="Times New Roman" w:hint="eastAsia"/>
                <w:color w:val="000000" w:themeColor="text1"/>
                <w:kern w:val="0"/>
              </w:rPr>
              <w:t>六十九</w:t>
            </w:r>
          </w:p>
        </w:tc>
        <w:tc>
          <w:tcPr>
            <w:tcW w:w="3969" w:type="dxa"/>
            <w:vMerge w:val="restart"/>
            <w:vAlign w:val="center"/>
          </w:tcPr>
          <w:p w:rsidR="00DC1B96" w:rsidRPr="00FE2AAB" w:rsidRDefault="00DC1B96" w:rsidP="00CE365B">
            <w:pPr>
              <w:spacing w:line="300" w:lineRule="exact"/>
              <w:jc w:val="both"/>
              <w:rPr>
                <w:rFonts w:ascii="標楷體" w:eastAsia="標楷體" w:hAnsi="標楷體"/>
                <w:color w:val="000000" w:themeColor="text1"/>
              </w:rPr>
            </w:pPr>
            <w:r w:rsidRPr="00FE2AAB">
              <w:rPr>
                <w:rFonts w:ascii="標楷體" w:eastAsia="標楷體" w:hAnsi="標楷體" w:hint="eastAsia"/>
                <w:color w:val="000000" w:themeColor="text1"/>
              </w:rPr>
              <w:t>各項諮詢及審查未依工程學理或違反相關專業認定，致影響工程履約者。</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w:t>
            </w:r>
            <w:r w:rsidRPr="00FE2AAB">
              <w:rPr>
                <w:rFonts w:ascii="Times New Roman" w:eastAsia="標楷體" w:hAnsi="標楷體" w:hint="eastAsia"/>
                <w:color w:val="000000" w:themeColor="text1"/>
                <w:kern w:val="0"/>
              </w:rPr>
              <w:t>五點至二</w:t>
            </w:r>
            <w:r w:rsidRPr="00FE2AAB">
              <w:rPr>
                <w:rFonts w:ascii="Times New Roman" w:eastAsia="標楷體" w:hAnsi="標楷體"/>
                <w:color w:val="000000" w:themeColor="text1"/>
                <w:kern w:val="0"/>
              </w:rPr>
              <w:t>十點。</w:t>
            </w:r>
          </w:p>
        </w:tc>
      </w:tr>
      <w:tr w:rsidR="00DC1B96" w:rsidRPr="00FE2AAB" w:rsidTr="00CE365B">
        <w:trPr>
          <w:cantSplit/>
          <w:trHeight w:val="527"/>
        </w:trPr>
        <w:tc>
          <w:tcPr>
            <w:tcW w:w="1120" w:type="dxa"/>
            <w:vMerge/>
            <w:vAlign w:val="center"/>
          </w:tcPr>
          <w:p w:rsidR="00DC1B96" w:rsidRPr="00FE2AAB" w:rsidRDefault="00DC1B96" w:rsidP="00CE365B">
            <w:pPr>
              <w:jc w:val="center"/>
              <w:rPr>
                <w:rFonts w:ascii="Times New Roman" w:eastAsia="標楷體" w:hAnsi="Times New Roman"/>
                <w:color w:val="000000" w:themeColor="text1"/>
                <w:kern w:val="0"/>
              </w:rPr>
            </w:pPr>
          </w:p>
        </w:tc>
        <w:tc>
          <w:tcPr>
            <w:tcW w:w="3969" w:type="dxa"/>
            <w:vMerge/>
            <w:vAlign w:val="center"/>
          </w:tcPr>
          <w:p w:rsidR="00DC1B96" w:rsidRPr="00FE2AAB" w:rsidRDefault="00DC1B96" w:rsidP="00CE365B">
            <w:pPr>
              <w:spacing w:line="300" w:lineRule="exact"/>
              <w:jc w:val="both"/>
              <w:rPr>
                <w:rFonts w:ascii="標楷體" w:eastAsia="標楷體" w:hAnsi="標楷體"/>
                <w:color w:val="000000" w:themeColor="text1"/>
              </w:rPr>
            </w:pP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標楷體" w:eastAsia="標楷體" w:hAnsi="標楷體" w:hint="eastAsia"/>
                <w:color w:val="000000" w:themeColor="text1"/>
              </w:rPr>
              <w:t>經通知限期改善逾期未改善者</w:t>
            </w:r>
            <w:r w:rsidRPr="00FE2AAB">
              <w:rPr>
                <w:rFonts w:ascii="Times New Roman" w:eastAsia="標楷體" w:hAnsi="標楷體"/>
                <w:color w:val="000000" w:themeColor="text1"/>
              </w:rPr>
              <w:t>，</w:t>
            </w:r>
            <w:r w:rsidRPr="00FE2AAB">
              <w:rPr>
                <w:rFonts w:ascii="Times New Roman" w:eastAsia="標楷體" w:hAnsi="標楷體"/>
                <w:color w:val="000000" w:themeColor="text1"/>
                <w:kern w:val="0"/>
              </w:rPr>
              <w:t>再扣</w:t>
            </w:r>
            <w:r w:rsidRPr="00FE2AAB">
              <w:rPr>
                <w:rFonts w:ascii="Times New Roman" w:eastAsia="標楷體" w:hAnsi="標楷體" w:hint="eastAsia"/>
                <w:color w:val="000000" w:themeColor="text1"/>
                <w:kern w:val="0"/>
              </w:rPr>
              <w:t>五點至二</w:t>
            </w:r>
            <w:r w:rsidRPr="00FE2AAB">
              <w:rPr>
                <w:rFonts w:ascii="Times New Roman" w:eastAsia="標楷體" w:hAnsi="標楷體"/>
                <w:color w:val="000000" w:themeColor="text1"/>
                <w:kern w:val="0"/>
              </w:rPr>
              <w:t>十點並得連續</w:t>
            </w:r>
            <w:r w:rsidRPr="00FE2AAB">
              <w:rPr>
                <w:rFonts w:ascii="Times New Roman" w:eastAsia="標楷體" w:hAnsi="標楷體" w:hint="eastAsia"/>
                <w:color w:val="000000" w:themeColor="text1"/>
                <w:kern w:val="0"/>
              </w:rPr>
              <w:t>扣點</w:t>
            </w:r>
            <w:r w:rsidRPr="00FE2AAB">
              <w:rPr>
                <w:rFonts w:ascii="Times New Roman" w:eastAsia="標楷體" w:hAnsi="標楷體"/>
                <w:color w:val="000000" w:themeColor="text1"/>
                <w:kern w:val="0"/>
              </w:rPr>
              <w:t>。</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kern w:val="0"/>
              </w:rPr>
              <w:t>工程施工查核小組查核結果有下列情形者，依</w:t>
            </w:r>
            <w:r w:rsidRPr="00FE2AAB">
              <w:rPr>
                <w:rFonts w:ascii="Times New Roman" w:eastAsia="標楷體" w:hAnsi="標楷體" w:hint="eastAsia"/>
                <w:color w:val="000000" w:themeColor="text1"/>
                <w:kern w:val="0"/>
              </w:rPr>
              <w:t>各項</w:t>
            </w:r>
            <w:r w:rsidRPr="00FE2AAB">
              <w:rPr>
                <w:rFonts w:ascii="Times New Roman" w:eastAsia="標楷體" w:hAnsi="標楷體"/>
                <w:color w:val="000000" w:themeColor="text1"/>
                <w:kern w:val="0"/>
              </w:rPr>
              <w:t>規定扣</w:t>
            </w:r>
            <w:r w:rsidRPr="00FE2AAB">
              <w:rPr>
                <w:rFonts w:ascii="Times New Roman" w:eastAsia="標楷體" w:hAnsi="標楷體" w:hint="eastAsia"/>
                <w:color w:val="000000" w:themeColor="text1"/>
                <w:kern w:val="0"/>
              </w:rPr>
              <w:t>點</w:t>
            </w:r>
            <w:r w:rsidRPr="00FE2AAB">
              <w:rPr>
                <w:rFonts w:ascii="Times New Roman" w:eastAsia="標楷體" w:hAnsi="標楷體"/>
                <w:color w:val="000000" w:themeColor="text1"/>
                <w:kern w:val="0"/>
              </w:rPr>
              <w:t>：</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color w:val="000000" w:themeColor="text1"/>
                <w:kern w:val="0"/>
              </w:rPr>
              <w:t>七十</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查核金額以上之工程：查核成績未達</w:t>
            </w:r>
            <w:r w:rsidRPr="00FE2AAB">
              <w:rPr>
                <w:rFonts w:ascii="Times New Roman" w:eastAsia="標楷體" w:hAnsi="Times New Roman" w:hint="eastAsia"/>
                <w:color w:val="000000" w:themeColor="text1"/>
                <w:kern w:val="0"/>
              </w:rPr>
              <w:t>八十</w:t>
            </w:r>
            <w:r w:rsidRPr="00FE2AAB">
              <w:rPr>
                <w:rFonts w:ascii="Times New Roman" w:eastAsia="標楷體" w:hAnsi="標楷體"/>
                <w:color w:val="000000" w:themeColor="text1"/>
                <w:kern w:val="0"/>
              </w:rPr>
              <w:t>分</w:t>
            </w:r>
            <w:r w:rsidRPr="00FE2AAB">
              <w:rPr>
                <w:rFonts w:ascii="Times New Roman" w:eastAsia="標楷體" w:hAnsi="Times New Roman"/>
                <w:color w:val="000000" w:themeColor="text1"/>
                <w:kern w:val="0"/>
              </w:rPr>
              <w:t>(</w:t>
            </w:r>
            <w:r w:rsidRPr="00FE2AAB">
              <w:rPr>
                <w:rFonts w:ascii="Times New Roman" w:eastAsia="標楷體" w:hAnsi="標楷體"/>
                <w:color w:val="000000" w:themeColor="text1"/>
                <w:kern w:val="0"/>
              </w:rPr>
              <w:t>甲等</w:t>
            </w:r>
            <w:r w:rsidRPr="00FE2AAB">
              <w:rPr>
                <w:rFonts w:ascii="Times New Roman" w:eastAsia="標楷體" w:hAnsi="Times New Roman"/>
                <w:color w:val="000000" w:themeColor="text1"/>
                <w:kern w:val="0"/>
              </w:rPr>
              <w:t>)</w:t>
            </w:r>
            <w:r w:rsidRPr="00FE2AAB">
              <w:rPr>
                <w:rFonts w:ascii="Times New Roman" w:eastAsia="標楷體" w:hAnsi="標楷體"/>
                <w:color w:val="000000" w:themeColor="text1"/>
                <w:kern w:val="0"/>
              </w:rPr>
              <w:t>。</w:t>
            </w:r>
            <w:r w:rsidRPr="00FE2AAB">
              <w:rPr>
                <w:rFonts w:ascii="Times New Roman" w:eastAsia="標楷體" w:hAnsi="Times New Roman"/>
                <w:color w:val="000000" w:themeColor="text1"/>
                <w:kern w:val="0"/>
              </w:rPr>
              <w:t xml:space="preserve"> </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每次扣十點。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color w:val="000000" w:themeColor="text1"/>
                <w:kern w:val="0"/>
              </w:rPr>
              <w:t>七十一</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查核金額以上之工程：查核成績未達</w:t>
            </w:r>
            <w:r w:rsidRPr="00FE2AAB">
              <w:rPr>
                <w:rFonts w:ascii="Times New Roman" w:eastAsia="標楷體" w:hAnsi="Times New Roman" w:hint="eastAsia"/>
                <w:color w:val="000000" w:themeColor="text1"/>
                <w:kern w:val="0"/>
              </w:rPr>
              <w:t>七十五</w:t>
            </w:r>
            <w:r w:rsidRPr="00FE2AAB">
              <w:rPr>
                <w:rFonts w:ascii="Times New Roman" w:eastAsia="標楷體" w:hAnsi="標楷體"/>
                <w:color w:val="000000" w:themeColor="text1"/>
                <w:kern w:val="0"/>
              </w:rPr>
              <w:t>分。</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w:t>
            </w:r>
            <w:r w:rsidRPr="00FE2AAB">
              <w:rPr>
                <w:rFonts w:ascii="Times New Roman" w:eastAsia="標楷體" w:hAnsi="Times New Roman" w:hint="eastAsia"/>
                <w:color w:val="000000" w:themeColor="text1"/>
                <w:kern w:val="0"/>
              </w:rPr>
              <w:t>十五</w:t>
            </w:r>
            <w:r w:rsidRPr="00FE2AAB">
              <w:rPr>
                <w:rFonts w:ascii="Times New Roman" w:eastAsia="標楷體" w:hAnsi="標楷體"/>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color w:val="000000" w:themeColor="text1"/>
                <w:kern w:val="0"/>
              </w:rPr>
              <w:t>七十二</w:t>
            </w:r>
          </w:p>
        </w:tc>
        <w:tc>
          <w:tcPr>
            <w:tcW w:w="3969"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未達查核金額之工程：查核成績未達</w:t>
            </w:r>
            <w:r w:rsidRPr="00FE2AAB">
              <w:rPr>
                <w:rFonts w:ascii="Times New Roman" w:eastAsia="標楷體" w:hAnsi="Times New Roman" w:hint="eastAsia"/>
                <w:color w:val="000000" w:themeColor="text1"/>
              </w:rPr>
              <w:t>八十</w:t>
            </w:r>
            <w:r w:rsidRPr="00FE2AAB">
              <w:rPr>
                <w:rFonts w:ascii="Times New Roman" w:eastAsia="標楷體" w:hAnsi="標楷體"/>
                <w:color w:val="000000" w:themeColor="text1"/>
              </w:rPr>
              <w:t>分。</w:t>
            </w:r>
          </w:p>
        </w:tc>
        <w:tc>
          <w:tcPr>
            <w:tcW w:w="3670" w:type="dxa"/>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kern w:val="0"/>
              </w:rPr>
              <w:t>每次扣五點。</w:t>
            </w:r>
          </w:p>
        </w:tc>
      </w:tr>
      <w:tr w:rsidR="00DC1B96" w:rsidRPr="00FE2AAB" w:rsidTr="00CE365B">
        <w:trPr>
          <w:cantSplit/>
          <w:trHeight w:val="20"/>
        </w:trPr>
        <w:tc>
          <w:tcPr>
            <w:tcW w:w="1120" w:type="dxa"/>
            <w:vAlign w:val="center"/>
          </w:tcPr>
          <w:p w:rsidR="00DC1B96" w:rsidRPr="00FE2AAB" w:rsidRDefault="00DC1B96" w:rsidP="00CE365B">
            <w:pPr>
              <w:spacing w:line="300" w:lineRule="exact"/>
              <w:jc w:val="center"/>
              <w:textAlignment w:val="bottom"/>
              <w:rPr>
                <w:rFonts w:ascii="Times New Roman" w:eastAsia="標楷體" w:hAnsi="Times New Roman"/>
                <w:color w:val="000000" w:themeColor="text1"/>
                <w:kern w:val="0"/>
              </w:rPr>
            </w:pPr>
            <w:r w:rsidRPr="00FE2AAB">
              <w:rPr>
                <w:rFonts w:ascii="Times New Roman" w:eastAsia="標楷體" w:hAnsi="Times New Roman"/>
                <w:color w:val="000000" w:themeColor="text1"/>
                <w:kern w:val="0"/>
              </w:rPr>
              <w:t>七十三</w:t>
            </w:r>
          </w:p>
        </w:tc>
        <w:tc>
          <w:tcPr>
            <w:tcW w:w="3969"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rPr>
            </w:pPr>
            <w:r w:rsidRPr="00FE2AAB">
              <w:rPr>
                <w:rFonts w:ascii="Times New Roman" w:eastAsia="標楷體" w:hAnsi="標楷體"/>
                <w:color w:val="000000" w:themeColor="text1"/>
              </w:rPr>
              <w:t>未達查核金額之工程：查核成績未達</w:t>
            </w:r>
            <w:r w:rsidRPr="00FE2AAB">
              <w:rPr>
                <w:rFonts w:ascii="Times New Roman" w:eastAsia="標楷體" w:hAnsi="Times New Roman" w:hint="eastAsia"/>
                <w:color w:val="000000" w:themeColor="text1"/>
              </w:rPr>
              <w:t>七十五</w:t>
            </w:r>
            <w:r w:rsidRPr="00FE2AAB">
              <w:rPr>
                <w:rFonts w:ascii="Times New Roman" w:eastAsia="標楷體" w:hAnsi="標楷體"/>
                <w:color w:val="000000" w:themeColor="text1"/>
              </w:rPr>
              <w:t>分。</w:t>
            </w:r>
          </w:p>
        </w:tc>
        <w:tc>
          <w:tcPr>
            <w:tcW w:w="3670" w:type="dxa"/>
            <w:vAlign w:val="center"/>
          </w:tcPr>
          <w:p w:rsidR="00DC1B96" w:rsidRPr="00FE2AAB" w:rsidRDefault="00DC1B96" w:rsidP="00CE365B">
            <w:pPr>
              <w:spacing w:line="300" w:lineRule="exact"/>
              <w:jc w:val="both"/>
              <w:textAlignment w:val="bottom"/>
              <w:rPr>
                <w:rFonts w:ascii="Times New Roman" w:eastAsia="標楷體" w:hAnsi="Times New Roman"/>
                <w:color w:val="000000" w:themeColor="text1"/>
                <w:kern w:val="0"/>
              </w:rPr>
            </w:pPr>
            <w:r w:rsidRPr="00FE2AAB">
              <w:rPr>
                <w:rFonts w:ascii="Times New Roman" w:eastAsia="標楷體" w:hAnsi="標楷體"/>
                <w:color w:val="000000" w:themeColor="text1"/>
                <w:kern w:val="0"/>
              </w:rPr>
              <w:t>每次扣十點。</w:t>
            </w:r>
          </w:p>
        </w:tc>
      </w:tr>
      <w:tr w:rsidR="00DC1B96" w:rsidRPr="00FE2AAB" w:rsidTr="00CE365B">
        <w:trPr>
          <w:cantSplit/>
          <w:trHeight w:val="20"/>
        </w:trPr>
        <w:tc>
          <w:tcPr>
            <w:tcW w:w="8759" w:type="dxa"/>
            <w:gridSpan w:val="3"/>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proofErr w:type="gramStart"/>
            <w:r w:rsidRPr="00FE2AAB">
              <w:rPr>
                <w:rFonts w:ascii="Times New Roman" w:eastAsia="標楷體" w:hAnsi="標楷體"/>
                <w:color w:val="000000" w:themeColor="text1"/>
                <w:kern w:val="0"/>
              </w:rPr>
              <w:t>倘為公告</w:t>
            </w:r>
            <w:proofErr w:type="gramEnd"/>
            <w:r w:rsidRPr="00FE2AAB">
              <w:rPr>
                <w:rFonts w:ascii="Times New Roman" w:eastAsia="標楷體" w:hAnsi="標楷體"/>
                <w:color w:val="000000" w:themeColor="text1"/>
                <w:kern w:val="0"/>
              </w:rPr>
              <w:t>金額以上且非開口契約之技術服務案，於廠商提送或修正之招標文件，招標後無廠商投標或無合格標，經發現有下列情形之</w:t>
            </w:r>
            <w:proofErr w:type="gramStart"/>
            <w:r w:rsidRPr="00FE2AAB">
              <w:rPr>
                <w:rFonts w:ascii="Times New Roman" w:eastAsia="標楷體" w:hAnsi="標楷體"/>
                <w:color w:val="000000" w:themeColor="text1"/>
                <w:kern w:val="0"/>
              </w:rPr>
              <w:t>一</w:t>
            </w:r>
            <w:proofErr w:type="gramEnd"/>
            <w:r w:rsidRPr="00FE2AAB">
              <w:rPr>
                <w:rFonts w:ascii="Times New Roman" w:eastAsia="標楷體" w:hAnsi="標楷體"/>
                <w:color w:val="000000" w:themeColor="text1"/>
                <w:kern w:val="0"/>
              </w:rPr>
              <w:t>者</w:t>
            </w:r>
            <w:r w:rsidRPr="00FE2AAB">
              <w:rPr>
                <w:rFonts w:ascii="Times New Roman" w:eastAsia="標楷體" w:hAnsi="標楷體" w:hint="eastAsia"/>
                <w:color w:val="000000" w:themeColor="text1"/>
                <w:kern w:val="0"/>
              </w:rPr>
              <w:t>：</w:t>
            </w:r>
            <w:r w:rsidRPr="00FE2AAB">
              <w:rPr>
                <w:rFonts w:ascii="Times New Roman" w:eastAsia="標楷體" w:hAnsi="標楷體"/>
                <w:color w:val="000000" w:themeColor="text1"/>
                <w:kern w:val="0"/>
              </w:rPr>
              <w:t>公告金額以上未達查核金額之案件，每次扣</w:t>
            </w:r>
            <w:r w:rsidRPr="00FE2AAB">
              <w:rPr>
                <w:rFonts w:ascii="Times New Roman" w:eastAsia="標楷體" w:hAnsi="Times New Roman" w:hint="eastAsia"/>
                <w:color w:val="000000" w:themeColor="text1"/>
                <w:kern w:val="0"/>
              </w:rPr>
              <w:t>十五</w:t>
            </w:r>
            <w:r w:rsidRPr="00FE2AAB">
              <w:rPr>
                <w:rFonts w:ascii="Times New Roman" w:eastAsia="標楷體" w:hAnsi="標楷體"/>
                <w:color w:val="000000" w:themeColor="text1"/>
                <w:kern w:val="0"/>
              </w:rPr>
              <w:t>點；查核金額以上未達巨額之案件，每次扣</w:t>
            </w:r>
            <w:r w:rsidRPr="00FE2AAB">
              <w:rPr>
                <w:rFonts w:ascii="Times New Roman" w:eastAsia="標楷體" w:hAnsi="Times New Roman" w:hint="eastAsia"/>
                <w:color w:val="000000" w:themeColor="text1"/>
                <w:kern w:val="0"/>
              </w:rPr>
              <w:t>十</w:t>
            </w:r>
            <w:r w:rsidRPr="00FE2AAB">
              <w:rPr>
                <w:rFonts w:ascii="Times New Roman" w:eastAsia="標楷體" w:hAnsi="標楷體"/>
                <w:color w:val="000000" w:themeColor="text1"/>
                <w:kern w:val="0"/>
              </w:rPr>
              <w:t>點；巨額以上之案件，每次扣</w:t>
            </w:r>
            <w:r w:rsidRPr="00FE2AAB">
              <w:rPr>
                <w:rFonts w:ascii="Times New Roman" w:eastAsia="標楷體" w:hAnsi="Times New Roman" w:hint="eastAsia"/>
                <w:color w:val="000000" w:themeColor="text1"/>
                <w:kern w:val="0"/>
              </w:rPr>
              <w:t>十</w:t>
            </w:r>
            <w:r w:rsidRPr="00FE2AAB">
              <w:rPr>
                <w:rFonts w:ascii="Times New Roman" w:eastAsia="標楷體" w:hAnsi="標楷體"/>
                <w:color w:val="000000" w:themeColor="text1"/>
                <w:kern w:val="0"/>
              </w:rPr>
              <w:t>點。</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t>七十四</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kern w:val="0"/>
              </w:rPr>
              <w:t>未考量地區偏遠及環境等因素</w:t>
            </w:r>
            <w:r w:rsidRPr="00FE2AAB">
              <w:rPr>
                <w:rFonts w:ascii="Times New Roman" w:eastAsia="標楷體" w:hAnsi="Times New Roman"/>
                <w:color w:val="000000" w:themeColor="text1"/>
                <w:kern w:val="0"/>
              </w:rPr>
              <w:t>(</w:t>
            </w:r>
            <w:r w:rsidRPr="00FE2AAB">
              <w:rPr>
                <w:rFonts w:ascii="Times New Roman" w:eastAsia="標楷體" w:hAnsi="標楷體"/>
                <w:color w:val="000000" w:themeColor="text1"/>
                <w:kern w:val="0"/>
              </w:rPr>
              <w:t>含人員、機具、材料設備、運費等</w:t>
            </w:r>
            <w:r w:rsidRPr="00FE2AAB">
              <w:rPr>
                <w:rFonts w:ascii="Times New Roman" w:eastAsia="標楷體" w:hAnsi="Times New Roman"/>
                <w:color w:val="000000" w:themeColor="text1"/>
                <w:kern w:val="0"/>
              </w:rPr>
              <w:t>)</w:t>
            </w:r>
            <w:r w:rsidRPr="00FE2AAB">
              <w:rPr>
                <w:rFonts w:ascii="Times New Roman" w:eastAsia="標楷體" w:hAnsi="標楷體"/>
                <w:color w:val="000000" w:themeColor="text1"/>
                <w:kern w:val="0"/>
              </w:rPr>
              <w:t>做調整，致編列之單價偏低。</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t>七十五</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部分材料設備等級要求過高或有所限制，致編列單價過高造成預算排擠，而壓低其他材料項目單價。</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t>七十六</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因特殊造型或施工難度較高等因素，單價未配合調整。</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lastRenderedPageBreak/>
              <w:t>七十七</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詳細表單價編列未符合市場行情</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含未參考最近期公共工程價格資料庫、營建物價期刊資訊，落實訪查市場物價或參考相關機關歷史決標資訊</w:t>
            </w:r>
            <w:r w:rsidRPr="00FE2AAB">
              <w:rPr>
                <w:rFonts w:ascii="Times New Roman" w:eastAsia="標楷體" w:hAnsi="Times New Roman"/>
                <w:color w:val="000000" w:themeColor="text1"/>
              </w:rPr>
              <w:t>)</w:t>
            </w:r>
            <w:r w:rsidRPr="00FE2AAB">
              <w:rPr>
                <w:rFonts w:ascii="Times New Roman" w:eastAsia="標楷體" w:hAnsi="標楷體"/>
                <w:color w:val="000000" w:themeColor="text1"/>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t>七十八</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圖說與標單規格數量差異大或工程數量計算不確實</w:t>
            </w:r>
            <w:proofErr w:type="gramStart"/>
            <w:r w:rsidRPr="00FE2AAB">
              <w:rPr>
                <w:rFonts w:ascii="Times New Roman" w:eastAsia="標楷體" w:hAnsi="標楷體"/>
                <w:color w:val="000000" w:themeColor="text1"/>
              </w:rPr>
              <w:t>或漏項多</w:t>
            </w:r>
            <w:proofErr w:type="gramEnd"/>
            <w:r w:rsidRPr="00FE2AAB">
              <w:rPr>
                <w:rFonts w:ascii="Times New Roman" w:eastAsia="標楷體" w:hAnsi="標楷體"/>
                <w:color w:val="000000" w:themeColor="text1"/>
              </w:rPr>
              <w:t>。</w:t>
            </w:r>
          </w:p>
        </w:tc>
      </w:tr>
      <w:tr w:rsidR="00DC1B96" w:rsidRPr="00FE2AAB" w:rsidTr="00CE365B">
        <w:trPr>
          <w:cantSplit/>
          <w:trHeight w:val="20"/>
        </w:trPr>
        <w:tc>
          <w:tcPr>
            <w:tcW w:w="1120" w:type="dxa"/>
            <w:vAlign w:val="center"/>
          </w:tcPr>
          <w:p w:rsidR="00DC1B96" w:rsidRPr="00FE2AAB" w:rsidRDefault="00DC1B96" w:rsidP="00CE365B">
            <w:pPr>
              <w:jc w:val="center"/>
              <w:rPr>
                <w:color w:val="000000" w:themeColor="text1"/>
              </w:rPr>
            </w:pPr>
            <w:r w:rsidRPr="00FE2AAB">
              <w:rPr>
                <w:rFonts w:ascii="Times New Roman" w:eastAsia="標楷體" w:hAnsi="Times New Roman"/>
                <w:color w:val="000000" w:themeColor="text1"/>
                <w:kern w:val="0"/>
              </w:rPr>
              <w:t>七十九</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工期顯不合理。</w:t>
            </w:r>
          </w:p>
        </w:tc>
      </w:tr>
      <w:tr w:rsidR="00DC1B96" w:rsidRPr="00FE2AAB" w:rsidTr="00CE365B">
        <w:trPr>
          <w:cantSplit/>
          <w:trHeight w:val="20"/>
        </w:trPr>
        <w:tc>
          <w:tcPr>
            <w:tcW w:w="1120" w:type="dxa"/>
            <w:vAlign w:val="center"/>
          </w:tcPr>
          <w:p w:rsidR="00DC1B96" w:rsidRPr="00FE2AAB" w:rsidRDefault="00DC1B96" w:rsidP="00CE365B">
            <w:pPr>
              <w:jc w:val="center"/>
              <w:rPr>
                <w:rFonts w:ascii="標楷體" w:eastAsia="標楷體" w:hAnsi="標楷體"/>
                <w:color w:val="000000" w:themeColor="text1"/>
              </w:rPr>
            </w:pPr>
            <w:r w:rsidRPr="00FE2AAB">
              <w:rPr>
                <w:rFonts w:ascii="標楷體" w:eastAsia="標楷體" w:hAnsi="標楷體" w:hint="eastAsia"/>
                <w:color w:val="000000" w:themeColor="text1"/>
              </w:rPr>
              <w:t>八十</w:t>
            </w:r>
          </w:p>
        </w:tc>
        <w:tc>
          <w:tcPr>
            <w:tcW w:w="7639" w:type="dxa"/>
            <w:gridSpan w:val="2"/>
            <w:vAlign w:val="center"/>
          </w:tcPr>
          <w:p w:rsidR="00DC1B96" w:rsidRPr="00FE2AAB" w:rsidRDefault="00DC1B96" w:rsidP="00CE365B">
            <w:pPr>
              <w:spacing w:line="300" w:lineRule="exact"/>
              <w:jc w:val="both"/>
              <w:textAlignment w:val="bottom"/>
              <w:rPr>
                <w:rFonts w:ascii="Times New Roman" w:eastAsia="標楷體" w:hAnsi="標楷體"/>
                <w:color w:val="000000" w:themeColor="text1"/>
                <w:kern w:val="0"/>
              </w:rPr>
            </w:pPr>
            <w:r w:rsidRPr="00FE2AAB">
              <w:rPr>
                <w:rFonts w:ascii="Times New Roman" w:eastAsia="標楷體" w:hAnsi="標楷體"/>
                <w:color w:val="000000" w:themeColor="text1"/>
              </w:rPr>
              <w:t>其他可歸責於廠商之情形。</w:t>
            </w:r>
          </w:p>
        </w:tc>
      </w:tr>
    </w:tbl>
    <w:p w:rsidR="00DC1B96" w:rsidRPr="00FE2AAB" w:rsidRDefault="00DC1B96" w:rsidP="00DC1B96">
      <w:pPr>
        <w:jc w:val="both"/>
      </w:pPr>
    </w:p>
    <w:p w:rsidR="00E75EE8" w:rsidRPr="00FE2AAB" w:rsidRDefault="00E75EE8" w:rsidP="00DC1B96">
      <w:pPr>
        <w:snapToGrid w:val="0"/>
        <w:spacing w:line="460" w:lineRule="exact"/>
      </w:pPr>
    </w:p>
    <w:sectPr w:rsidR="00E75EE8" w:rsidRPr="00FE2AAB" w:rsidSect="00703D52">
      <w:footerReference w:type="even" r:id="rId9"/>
      <w:footerReference w:type="default" r:id="rId10"/>
      <w:pgSz w:w="11906" w:h="16838" w:code="9"/>
      <w:pgMar w:top="1418" w:right="141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65" w:rsidRDefault="00F22865" w:rsidP="008644F3">
      <w:r>
        <w:separator/>
      </w:r>
    </w:p>
  </w:endnote>
  <w:endnote w:type="continuationSeparator" w:id="0">
    <w:p w:rsidR="00F22865" w:rsidRDefault="00F22865" w:rsidP="008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D2" w:rsidRDefault="00DA59D2" w:rsidP="009B25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59D2" w:rsidRDefault="00DA59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D2" w:rsidRDefault="00DA59D2" w:rsidP="009B25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55A1">
      <w:rPr>
        <w:rStyle w:val="a8"/>
        <w:noProof/>
      </w:rPr>
      <w:t>1</w:t>
    </w:r>
    <w:r>
      <w:rPr>
        <w:rStyle w:val="a8"/>
      </w:rPr>
      <w:fldChar w:fldCharType="end"/>
    </w:r>
  </w:p>
  <w:p w:rsidR="00DA59D2" w:rsidRDefault="00DA59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65" w:rsidRDefault="00F22865" w:rsidP="008644F3">
      <w:r>
        <w:separator/>
      </w:r>
    </w:p>
  </w:footnote>
  <w:footnote w:type="continuationSeparator" w:id="0">
    <w:p w:rsidR="00F22865" w:rsidRDefault="00F22865" w:rsidP="00864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819"/>
    <w:multiLevelType w:val="hybridMultilevel"/>
    <w:tmpl w:val="CF6AB24C"/>
    <w:lvl w:ilvl="0" w:tplc="BC547FCE">
      <w:start w:val="1"/>
      <w:numFmt w:val="none"/>
      <w:lvlText w:val="八、"/>
      <w:lvlJc w:val="left"/>
      <w:pPr>
        <w:tabs>
          <w:tab w:val="num" w:pos="480"/>
        </w:tabs>
        <w:ind w:left="480" w:hanging="480"/>
      </w:pPr>
      <w:rPr>
        <w:rFonts w:eastAsia="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740A9B"/>
    <w:multiLevelType w:val="hybridMultilevel"/>
    <w:tmpl w:val="44DC2CF0"/>
    <w:lvl w:ilvl="0" w:tplc="E61C44E0">
      <w:start w:val="1"/>
      <w:numFmt w:val="taiwaneseCountingThousand"/>
      <w:lvlText w:val="%1、"/>
      <w:lvlJc w:val="left"/>
      <w:pPr>
        <w:tabs>
          <w:tab w:val="num" w:pos="480"/>
        </w:tabs>
        <w:ind w:left="480" w:hanging="480"/>
      </w:pPr>
      <w:rPr>
        <w:color w:val="auto"/>
        <w:lang w:val="en-US"/>
      </w:rPr>
    </w:lvl>
    <w:lvl w:ilvl="1" w:tplc="DF6A81E2">
      <w:start w:val="1"/>
      <w:numFmt w:val="taiwaneseCountingThousand"/>
      <w:suff w:val="nothing"/>
      <w:lvlText w:val="(%2)"/>
      <w:lvlJc w:val="left"/>
      <w:pPr>
        <w:ind w:left="960" w:hanging="48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CE53995"/>
    <w:multiLevelType w:val="multilevel"/>
    <w:tmpl w:val="B1965772"/>
    <w:lvl w:ilvl="0">
      <w:start w:val="1"/>
      <w:numFmt w:val="taiwaneseCountingThousand"/>
      <w:suff w:val="nothing"/>
      <w:lvlText w:val="(%1)"/>
      <w:lvlJc w:val="left"/>
      <w:pPr>
        <w:ind w:left="1134" w:hanging="567"/>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265F3A43"/>
    <w:multiLevelType w:val="hybridMultilevel"/>
    <w:tmpl w:val="C3A8A128"/>
    <w:lvl w:ilvl="0" w:tplc="375643CE">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C8F1ACC"/>
    <w:multiLevelType w:val="multilevel"/>
    <w:tmpl w:val="09F67C08"/>
    <w:lvl w:ilvl="0">
      <w:start w:val="1"/>
      <w:numFmt w:val="taiwaneseCountingThousand"/>
      <w:suff w:val="nothing"/>
      <w:lvlText w:val="%1、"/>
      <w:lvlJc w:val="left"/>
      <w:pPr>
        <w:ind w:left="567" w:hanging="567"/>
      </w:pPr>
      <w:rPr>
        <w:rFonts w:cs="Times New Roman" w:hint="eastAsia"/>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306F47D7"/>
    <w:multiLevelType w:val="hybridMultilevel"/>
    <w:tmpl w:val="B1965772"/>
    <w:lvl w:ilvl="0" w:tplc="A3160424">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0CA65FB"/>
    <w:multiLevelType w:val="hybridMultilevel"/>
    <w:tmpl w:val="2C5C4846"/>
    <w:lvl w:ilvl="0" w:tplc="D408EDA6">
      <w:start w:val="9"/>
      <w:numFmt w:val="taiwaneseCountingThousand"/>
      <w:suff w:val="nothing"/>
      <w:lvlText w:val="%1、"/>
      <w:lvlJc w:val="left"/>
      <w:pPr>
        <w:ind w:left="567" w:hanging="567"/>
      </w:pPr>
      <w:rPr>
        <w:rFonts w:cs="Times New Roman" w:hint="eastAsia"/>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7">
    <w:nsid w:val="36F80A5D"/>
    <w:multiLevelType w:val="hybridMultilevel"/>
    <w:tmpl w:val="84B2258E"/>
    <w:lvl w:ilvl="0" w:tplc="F940903E">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8">
    <w:nsid w:val="382B7ECE"/>
    <w:multiLevelType w:val="hybridMultilevel"/>
    <w:tmpl w:val="1EE0FDAA"/>
    <w:lvl w:ilvl="0" w:tplc="FE70C3A2">
      <w:start w:val="7"/>
      <w:numFmt w:val="taiwaneseCountingThousand"/>
      <w:suff w:val="nothing"/>
      <w:lvlText w:val="%1、"/>
      <w:lvlJc w:val="left"/>
      <w:pPr>
        <w:ind w:left="567" w:hanging="567"/>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E3088C"/>
    <w:multiLevelType w:val="hybridMultilevel"/>
    <w:tmpl w:val="2CAE927E"/>
    <w:lvl w:ilvl="0" w:tplc="55AAE156">
      <w:start w:val="14"/>
      <w:numFmt w:val="taiwaneseCountingThousand"/>
      <w:suff w:val="nothing"/>
      <w:lvlText w:val="%1、"/>
      <w:lvlJc w:val="left"/>
      <w:pPr>
        <w:ind w:left="851" w:hanging="851"/>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04557BE"/>
    <w:multiLevelType w:val="multilevel"/>
    <w:tmpl w:val="44DC2CF0"/>
    <w:lvl w:ilvl="0">
      <w:start w:val="1"/>
      <w:numFmt w:val="taiwaneseCountingThousand"/>
      <w:lvlText w:val="%1、"/>
      <w:lvlJc w:val="left"/>
      <w:pPr>
        <w:tabs>
          <w:tab w:val="num" w:pos="480"/>
        </w:tabs>
        <w:ind w:left="480" w:hanging="480"/>
      </w:pPr>
      <w:rPr>
        <w:color w:val="auto"/>
        <w:lang w:val="en-US"/>
      </w:rPr>
    </w:lvl>
    <w:lvl w:ilvl="1">
      <w:start w:val="1"/>
      <w:numFmt w:val="taiwaneseCountingThousand"/>
      <w:suff w:val="nothing"/>
      <w:lvlText w:val="(%2)"/>
      <w:lvlJc w:val="left"/>
      <w:pPr>
        <w:ind w:left="960" w:hanging="480"/>
      </w:pPr>
      <w:rPr>
        <w:rFonts w:ascii="標楷體" w:eastAsia="標楷體" w:hAnsi="標楷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46772BE"/>
    <w:multiLevelType w:val="multilevel"/>
    <w:tmpl w:val="1EE0FDAA"/>
    <w:lvl w:ilvl="0">
      <w:start w:val="7"/>
      <w:numFmt w:val="taiwaneseCountingThousand"/>
      <w:suff w:val="nothing"/>
      <w:lvlText w:val="%1、"/>
      <w:lvlJc w:val="left"/>
      <w:pPr>
        <w:ind w:left="567" w:hanging="567"/>
      </w:pPr>
      <w:rPr>
        <w:rFonts w:cs="Times New Roman"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47A670E9"/>
    <w:multiLevelType w:val="hybridMultilevel"/>
    <w:tmpl w:val="5A5AB256"/>
    <w:lvl w:ilvl="0" w:tplc="A3160424">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50842609"/>
    <w:multiLevelType w:val="hybridMultilevel"/>
    <w:tmpl w:val="09F67C08"/>
    <w:lvl w:ilvl="0" w:tplc="DFC296D0">
      <w:start w:val="1"/>
      <w:numFmt w:val="taiwaneseCountingThousand"/>
      <w:suff w:val="nothing"/>
      <w:lvlText w:val="%1、"/>
      <w:lvlJc w:val="left"/>
      <w:pPr>
        <w:ind w:left="567" w:hanging="567"/>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50BA2938"/>
    <w:multiLevelType w:val="hybridMultilevel"/>
    <w:tmpl w:val="F67EF1D8"/>
    <w:lvl w:ilvl="0" w:tplc="DDB291B2">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528C0368"/>
    <w:multiLevelType w:val="hybridMultilevel"/>
    <w:tmpl w:val="C41A8DF8"/>
    <w:lvl w:ilvl="0" w:tplc="37B6BF48">
      <w:start w:val="13"/>
      <w:numFmt w:val="taiwaneseCountingThousand"/>
      <w:suff w:val="nothing"/>
      <w:lvlText w:val="%1、"/>
      <w:lvlJc w:val="left"/>
      <w:pPr>
        <w:ind w:left="567" w:hanging="567"/>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FC96B4E"/>
    <w:multiLevelType w:val="multilevel"/>
    <w:tmpl w:val="09F67C08"/>
    <w:lvl w:ilvl="0">
      <w:start w:val="1"/>
      <w:numFmt w:val="taiwaneseCountingThousand"/>
      <w:suff w:val="nothing"/>
      <w:lvlText w:val="%1、"/>
      <w:lvlJc w:val="left"/>
      <w:pPr>
        <w:ind w:left="567" w:hanging="567"/>
      </w:pPr>
      <w:rPr>
        <w:rFonts w:cs="Times New Roman" w:hint="eastAsia"/>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645C66CE"/>
    <w:multiLevelType w:val="hybridMultilevel"/>
    <w:tmpl w:val="8AECE0F4"/>
    <w:lvl w:ilvl="0" w:tplc="A3160424">
      <w:start w:val="1"/>
      <w:numFmt w:val="taiwaneseCountingThousand"/>
      <w:suff w:val="nothing"/>
      <w:lvlText w:val="(%1)"/>
      <w:lvlJc w:val="left"/>
      <w:pPr>
        <w:ind w:left="1418" w:hanging="567"/>
      </w:pPr>
      <w:rPr>
        <w:rFonts w:cs="Times New Roman"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8">
    <w:nsid w:val="667B47C6"/>
    <w:multiLevelType w:val="multilevel"/>
    <w:tmpl w:val="09F67C08"/>
    <w:lvl w:ilvl="0">
      <w:start w:val="1"/>
      <w:numFmt w:val="taiwaneseCountingThousand"/>
      <w:suff w:val="nothing"/>
      <w:lvlText w:val="%1、"/>
      <w:lvlJc w:val="left"/>
      <w:pPr>
        <w:ind w:left="567" w:hanging="567"/>
      </w:pPr>
      <w:rPr>
        <w:rFonts w:cs="Times New Roman" w:hint="eastAsia"/>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69E679DB"/>
    <w:multiLevelType w:val="multilevel"/>
    <w:tmpl w:val="EC4E0CE4"/>
    <w:lvl w:ilvl="0">
      <w:start w:val="6"/>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721A0E12"/>
    <w:multiLevelType w:val="hybridMultilevel"/>
    <w:tmpl w:val="5A5AB256"/>
    <w:lvl w:ilvl="0" w:tplc="A3160424">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730A160A"/>
    <w:multiLevelType w:val="multilevel"/>
    <w:tmpl w:val="09F67C08"/>
    <w:lvl w:ilvl="0">
      <w:start w:val="1"/>
      <w:numFmt w:val="taiwaneseCountingThousand"/>
      <w:suff w:val="nothing"/>
      <w:lvlText w:val="%1、"/>
      <w:lvlJc w:val="left"/>
      <w:pPr>
        <w:ind w:left="567" w:hanging="567"/>
      </w:pPr>
      <w:rPr>
        <w:rFonts w:cs="Times New Roman" w:hint="eastAsia"/>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nsid w:val="7AFB3F21"/>
    <w:multiLevelType w:val="hybridMultilevel"/>
    <w:tmpl w:val="5A5AB256"/>
    <w:lvl w:ilvl="0" w:tplc="A3160424">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7D2C4949"/>
    <w:multiLevelType w:val="hybridMultilevel"/>
    <w:tmpl w:val="5A5AB256"/>
    <w:lvl w:ilvl="0" w:tplc="A3160424">
      <w:start w:val="1"/>
      <w:numFmt w:val="taiwaneseCountingThousand"/>
      <w:suff w:val="nothing"/>
      <w:lvlText w:val="(%1)"/>
      <w:lvlJc w:val="left"/>
      <w:pPr>
        <w:ind w:left="1134"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3"/>
  </w:num>
  <w:num w:numId="2">
    <w:abstractNumId w:val="3"/>
    <w:lvlOverride w:ilvl="0">
      <w:lvl w:ilvl="0" w:tplc="375643CE">
        <w:start w:val="1"/>
        <w:numFmt w:val="taiwaneseCountingThousand"/>
        <w:suff w:val="nothing"/>
        <w:lvlText w:val="%1、"/>
        <w:lvlJc w:val="left"/>
        <w:pPr>
          <w:ind w:left="851" w:hanging="851"/>
        </w:pPr>
        <w:rPr>
          <w:rFonts w:cs="Times New Roman" w:hint="eastAsia"/>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3">
    <w:abstractNumId w:val="3"/>
    <w:lvlOverride w:ilvl="0">
      <w:lvl w:ilvl="0" w:tplc="375643CE">
        <w:start w:val="1"/>
        <w:numFmt w:val="taiwaneseCountingThousand"/>
        <w:suff w:val="nothing"/>
        <w:lvlText w:val="%1、"/>
        <w:lvlJc w:val="left"/>
        <w:pPr>
          <w:ind w:left="567" w:hanging="567"/>
        </w:pPr>
        <w:rPr>
          <w:rFonts w:cs="Times New Roman" w:hint="eastAsia"/>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4">
    <w:abstractNumId w:val="1"/>
  </w:num>
  <w:num w:numId="5">
    <w:abstractNumId w:val="13"/>
  </w:num>
  <w:num w:numId="6">
    <w:abstractNumId w:val="14"/>
  </w:num>
  <w:num w:numId="7">
    <w:abstractNumId w:val="13"/>
    <w:lvlOverride w:ilvl="0">
      <w:lvl w:ilvl="0" w:tplc="DFC296D0">
        <w:start w:val="1"/>
        <w:numFmt w:val="taiwaneseCountingThousand"/>
        <w:suff w:val="nothing"/>
        <w:lvlText w:val="%1、"/>
        <w:lvlJc w:val="left"/>
        <w:pPr>
          <w:ind w:left="567" w:hanging="567"/>
        </w:pPr>
        <w:rPr>
          <w:rFonts w:cs="Times New Roman" w:hint="eastAsia"/>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8">
    <w:abstractNumId w:val="13"/>
    <w:lvlOverride w:ilvl="0">
      <w:lvl w:ilvl="0" w:tplc="DFC296D0">
        <w:start w:val="1"/>
        <w:numFmt w:val="taiwaneseCountingThousand"/>
        <w:suff w:val="nothing"/>
        <w:lvlText w:val="%1、"/>
        <w:lvlJc w:val="left"/>
        <w:pPr>
          <w:ind w:left="567" w:hanging="567"/>
        </w:pPr>
        <w:rPr>
          <w:rFonts w:cs="Times New Roman" w:hint="eastAsia"/>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9">
    <w:abstractNumId w:val="12"/>
  </w:num>
  <w:num w:numId="10">
    <w:abstractNumId w:val="5"/>
  </w:num>
  <w:num w:numId="11">
    <w:abstractNumId w:val="20"/>
  </w:num>
  <w:num w:numId="12">
    <w:abstractNumId w:val="22"/>
  </w:num>
  <w:num w:numId="13">
    <w:abstractNumId w:val="13"/>
    <w:lvlOverride w:ilvl="0">
      <w:lvl w:ilvl="0" w:tplc="DFC296D0">
        <w:start w:val="1"/>
        <w:numFmt w:val="taiwaneseCountingThousand"/>
        <w:suff w:val="nothing"/>
        <w:lvlText w:val="%1、"/>
        <w:lvlJc w:val="left"/>
        <w:pPr>
          <w:ind w:left="851" w:hanging="851"/>
        </w:pPr>
        <w:rPr>
          <w:rFonts w:cs="Times New Roman" w:hint="eastAsia"/>
        </w:rPr>
      </w:lvl>
    </w:lvlOverride>
    <w:lvlOverride w:ilvl="1">
      <w:lvl w:ilvl="1" w:tplc="04090019">
        <w:start w:val="1"/>
        <w:numFmt w:val="ideographTraditional"/>
        <w:lvlText w:val="%2、"/>
        <w:lvlJc w:val="left"/>
        <w:pPr>
          <w:ind w:left="960" w:hanging="480"/>
        </w:pPr>
        <w:rPr>
          <w:rFonts w:cs="Times New Roman"/>
        </w:rPr>
      </w:lvl>
    </w:lvlOverride>
    <w:lvlOverride w:ilvl="2">
      <w:lvl w:ilvl="2" w:tplc="0409001B">
        <w:start w:val="1"/>
        <w:numFmt w:val="lowerRoman"/>
        <w:lvlText w:val="%3."/>
        <w:lvlJc w:val="right"/>
        <w:pPr>
          <w:ind w:left="1440" w:hanging="480"/>
        </w:pPr>
        <w:rPr>
          <w:rFonts w:cs="Times New Roman"/>
        </w:rPr>
      </w:lvl>
    </w:lvlOverride>
    <w:lvlOverride w:ilvl="3">
      <w:lvl w:ilvl="3" w:tplc="0409000F">
        <w:start w:val="1"/>
        <w:numFmt w:val="decimal"/>
        <w:lvlText w:val="%4."/>
        <w:lvlJc w:val="left"/>
        <w:pPr>
          <w:ind w:left="1920" w:hanging="480"/>
        </w:pPr>
        <w:rPr>
          <w:rFonts w:cs="Times New Roman"/>
        </w:rPr>
      </w:lvl>
    </w:lvlOverride>
    <w:lvlOverride w:ilvl="4">
      <w:lvl w:ilvl="4" w:tplc="04090019">
        <w:start w:val="1"/>
        <w:numFmt w:val="ideographTraditional"/>
        <w:lvlText w:val="%5、"/>
        <w:lvlJc w:val="left"/>
        <w:pPr>
          <w:ind w:left="2400" w:hanging="480"/>
        </w:pPr>
        <w:rPr>
          <w:rFonts w:cs="Times New Roman"/>
        </w:rPr>
      </w:lvl>
    </w:lvlOverride>
    <w:lvlOverride w:ilvl="5">
      <w:lvl w:ilvl="5" w:tplc="0409001B">
        <w:start w:val="1"/>
        <w:numFmt w:val="lowerRoman"/>
        <w:lvlText w:val="%6."/>
        <w:lvlJc w:val="right"/>
        <w:pPr>
          <w:ind w:left="2880" w:hanging="480"/>
        </w:pPr>
        <w:rPr>
          <w:rFonts w:cs="Times New Roman"/>
        </w:rPr>
      </w:lvl>
    </w:lvlOverride>
    <w:lvlOverride w:ilvl="6">
      <w:lvl w:ilvl="6" w:tplc="0409000F">
        <w:start w:val="1"/>
        <w:numFmt w:val="decimal"/>
        <w:lvlText w:val="%7."/>
        <w:lvlJc w:val="left"/>
        <w:pPr>
          <w:ind w:left="3360" w:hanging="480"/>
        </w:pPr>
        <w:rPr>
          <w:rFonts w:cs="Times New Roman"/>
        </w:rPr>
      </w:lvl>
    </w:lvlOverride>
    <w:lvlOverride w:ilvl="7">
      <w:lvl w:ilvl="7" w:tplc="04090019">
        <w:start w:val="1"/>
        <w:numFmt w:val="ideographTraditional"/>
        <w:lvlText w:val="%8、"/>
        <w:lvlJc w:val="left"/>
        <w:pPr>
          <w:ind w:left="3840" w:hanging="480"/>
        </w:pPr>
        <w:rPr>
          <w:rFonts w:cs="Times New Roman"/>
        </w:rPr>
      </w:lvl>
    </w:lvlOverride>
    <w:lvlOverride w:ilvl="8">
      <w:lvl w:ilvl="8" w:tplc="0409001B">
        <w:start w:val="1"/>
        <w:numFmt w:val="lowerRoman"/>
        <w:lvlText w:val="%9."/>
        <w:lvlJc w:val="right"/>
        <w:pPr>
          <w:ind w:left="4320" w:hanging="480"/>
        </w:pPr>
        <w:rPr>
          <w:rFonts w:cs="Times New Roman"/>
        </w:rPr>
      </w:lvl>
    </w:lvlOverride>
  </w:num>
  <w:num w:numId="14">
    <w:abstractNumId w:val="13"/>
    <w:lvlOverride w:ilvl="0">
      <w:lvl w:ilvl="0" w:tplc="DFC296D0">
        <w:start w:val="13"/>
        <w:numFmt w:val="taiwaneseCountingThousand"/>
        <w:suff w:val="nothing"/>
        <w:lvlText w:val="%1、"/>
        <w:lvlJc w:val="left"/>
        <w:pPr>
          <w:ind w:left="851" w:hanging="851"/>
        </w:pPr>
        <w:rPr>
          <w:rFonts w:cs="Times New Roman" w:hint="eastAsia"/>
        </w:rPr>
      </w:lvl>
    </w:lvlOverride>
    <w:lvlOverride w:ilvl="1">
      <w:lvl w:ilvl="1" w:tplc="04090019" w:tentative="1">
        <w:start w:val="1"/>
        <w:numFmt w:val="ideographTraditional"/>
        <w:lvlText w:val="%2、"/>
        <w:lvlJc w:val="left"/>
        <w:pPr>
          <w:tabs>
            <w:tab w:val="num" w:pos="960"/>
          </w:tabs>
          <w:ind w:left="960" w:hanging="480"/>
        </w:pPr>
      </w:lvl>
    </w:lvlOverride>
    <w:lvlOverride w:ilvl="2">
      <w:lvl w:ilvl="2" w:tplc="0409001B" w:tentative="1">
        <w:start w:val="1"/>
        <w:numFmt w:val="lowerRoman"/>
        <w:lvlText w:val="%3."/>
        <w:lvlJc w:val="right"/>
        <w:pPr>
          <w:tabs>
            <w:tab w:val="num" w:pos="1440"/>
          </w:tabs>
          <w:ind w:left="1440" w:hanging="480"/>
        </w:pPr>
      </w:lvl>
    </w:lvlOverride>
    <w:lvlOverride w:ilvl="3">
      <w:lvl w:ilvl="3" w:tplc="0409000F" w:tentative="1">
        <w:start w:val="1"/>
        <w:numFmt w:val="decimal"/>
        <w:lvlText w:val="%4."/>
        <w:lvlJc w:val="left"/>
        <w:pPr>
          <w:tabs>
            <w:tab w:val="num" w:pos="1920"/>
          </w:tabs>
          <w:ind w:left="1920" w:hanging="480"/>
        </w:pPr>
      </w:lvl>
    </w:lvlOverride>
    <w:lvlOverride w:ilvl="4">
      <w:lvl w:ilvl="4" w:tplc="04090019" w:tentative="1">
        <w:start w:val="1"/>
        <w:numFmt w:val="ideographTraditional"/>
        <w:lvlText w:val="%5、"/>
        <w:lvlJc w:val="left"/>
        <w:pPr>
          <w:tabs>
            <w:tab w:val="num" w:pos="2400"/>
          </w:tabs>
          <w:ind w:left="2400" w:hanging="480"/>
        </w:pPr>
      </w:lvl>
    </w:lvlOverride>
    <w:lvlOverride w:ilvl="5">
      <w:lvl w:ilvl="5" w:tplc="0409001B" w:tentative="1">
        <w:start w:val="1"/>
        <w:numFmt w:val="lowerRoman"/>
        <w:lvlText w:val="%6."/>
        <w:lvlJc w:val="right"/>
        <w:pPr>
          <w:tabs>
            <w:tab w:val="num" w:pos="2880"/>
          </w:tabs>
          <w:ind w:left="2880" w:hanging="480"/>
        </w:pPr>
      </w:lvl>
    </w:lvlOverride>
    <w:lvlOverride w:ilvl="6">
      <w:lvl w:ilvl="6" w:tplc="0409000F" w:tentative="1">
        <w:start w:val="1"/>
        <w:numFmt w:val="decimal"/>
        <w:lvlText w:val="%7."/>
        <w:lvlJc w:val="left"/>
        <w:pPr>
          <w:tabs>
            <w:tab w:val="num" w:pos="3360"/>
          </w:tabs>
          <w:ind w:left="3360" w:hanging="480"/>
        </w:pPr>
      </w:lvl>
    </w:lvlOverride>
    <w:lvlOverride w:ilvl="7">
      <w:lvl w:ilvl="7" w:tplc="04090019" w:tentative="1">
        <w:start w:val="1"/>
        <w:numFmt w:val="ideographTraditional"/>
        <w:lvlText w:val="%8、"/>
        <w:lvlJc w:val="left"/>
        <w:pPr>
          <w:tabs>
            <w:tab w:val="num" w:pos="3840"/>
          </w:tabs>
          <w:ind w:left="3840" w:hanging="480"/>
        </w:pPr>
      </w:lvl>
    </w:lvlOverride>
    <w:lvlOverride w:ilvl="8">
      <w:lvl w:ilvl="8" w:tplc="0409001B" w:tentative="1">
        <w:start w:val="1"/>
        <w:numFmt w:val="lowerRoman"/>
        <w:lvlText w:val="%9."/>
        <w:lvlJc w:val="right"/>
        <w:pPr>
          <w:tabs>
            <w:tab w:val="num" w:pos="4320"/>
          </w:tabs>
          <w:ind w:left="4320" w:hanging="480"/>
        </w:pPr>
      </w:lvl>
    </w:lvlOverride>
  </w:num>
  <w:num w:numId="15">
    <w:abstractNumId w:val="23"/>
  </w:num>
  <w:num w:numId="16">
    <w:abstractNumId w:val="17"/>
  </w:num>
  <w:num w:numId="17">
    <w:abstractNumId w:val="10"/>
  </w:num>
  <w:num w:numId="18">
    <w:abstractNumId w:val="2"/>
  </w:num>
  <w:num w:numId="19">
    <w:abstractNumId w:val="7"/>
  </w:num>
  <w:num w:numId="20">
    <w:abstractNumId w:val="21"/>
  </w:num>
  <w:num w:numId="21">
    <w:abstractNumId w:val="8"/>
  </w:num>
  <w:num w:numId="22">
    <w:abstractNumId w:val="19"/>
  </w:num>
  <w:num w:numId="23">
    <w:abstractNumId w:val="11"/>
  </w:num>
  <w:num w:numId="24">
    <w:abstractNumId w:val="6"/>
  </w:num>
  <w:num w:numId="25">
    <w:abstractNumId w:val="18"/>
  </w:num>
  <w:num w:numId="26">
    <w:abstractNumId w:val="16"/>
  </w:num>
  <w:num w:numId="27">
    <w:abstractNumId w:val="15"/>
  </w:num>
  <w:num w:numId="28">
    <w:abstractNumId w:val="4"/>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B2"/>
    <w:rsid w:val="00012B12"/>
    <w:rsid w:val="000172E1"/>
    <w:rsid w:val="00022955"/>
    <w:rsid w:val="00023F17"/>
    <w:rsid w:val="00025F7B"/>
    <w:rsid w:val="00053888"/>
    <w:rsid w:val="000564DA"/>
    <w:rsid w:val="00076565"/>
    <w:rsid w:val="000C6AAF"/>
    <w:rsid w:val="000D6CA7"/>
    <w:rsid w:val="000E37F0"/>
    <w:rsid w:val="000F2EA4"/>
    <w:rsid w:val="000F66A5"/>
    <w:rsid w:val="001136FC"/>
    <w:rsid w:val="001213A6"/>
    <w:rsid w:val="00142636"/>
    <w:rsid w:val="00150742"/>
    <w:rsid w:val="001532E3"/>
    <w:rsid w:val="001566C3"/>
    <w:rsid w:val="00160785"/>
    <w:rsid w:val="00164DC3"/>
    <w:rsid w:val="001674F9"/>
    <w:rsid w:val="00175798"/>
    <w:rsid w:val="00182928"/>
    <w:rsid w:val="001A1AA2"/>
    <w:rsid w:val="001A33C9"/>
    <w:rsid w:val="001B1EBC"/>
    <w:rsid w:val="001B2A95"/>
    <w:rsid w:val="001C2308"/>
    <w:rsid w:val="001D50A4"/>
    <w:rsid w:val="001D6AF9"/>
    <w:rsid w:val="001F3686"/>
    <w:rsid w:val="001F6AF5"/>
    <w:rsid w:val="00200FC1"/>
    <w:rsid w:val="00236BBB"/>
    <w:rsid w:val="00266E2A"/>
    <w:rsid w:val="00271004"/>
    <w:rsid w:val="00277ECB"/>
    <w:rsid w:val="002A0588"/>
    <w:rsid w:val="002A1E8F"/>
    <w:rsid w:val="002A51AD"/>
    <w:rsid w:val="002A7293"/>
    <w:rsid w:val="002A7F4A"/>
    <w:rsid w:val="002C1BB1"/>
    <w:rsid w:val="002E5EE0"/>
    <w:rsid w:val="003104C8"/>
    <w:rsid w:val="00324ABD"/>
    <w:rsid w:val="00332560"/>
    <w:rsid w:val="00336221"/>
    <w:rsid w:val="003516C4"/>
    <w:rsid w:val="00386124"/>
    <w:rsid w:val="00387E5A"/>
    <w:rsid w:val="003A00FE"/>
    <w:rsid w:val="003A27FE"/>
    <w:rsid w:val="003B15D7"/>
    <w:rsid w:val="003C6BD4"/>
    <w:rsid w:val="003E5A3A"/>
    <w:rsid w:val="003E7CC5"/>
    <w:rsid w:val="003F5815"/>
    <w:rsid w:val="00400432"/>
    <w:rsid w:val="0040424D"/>
    <w:rsid w:val="00406255"/>
    <w:rsid w:val="0041332C"/>
    <w:rsid w:val="00423908"/>
    <w:rsid w:val="00450BED"/>
    <w:rsid w:val="00453D11"/>
    <w:rsid w:val="00465908"/>
    <w:rsid w:val="004944A5"/>
    <w:rsid w:val="004B7FF3"/>
    <w:rsid w:val="004C658E"/>
    <w:rsid w:val="004F163A"/>
    <w:rsid w:val="004F7E51"/>
    <w:rsid w:val="00510415"/>
    <w:rsid w:val="005270E2"/>
    <w:rsid w:val="0056121A"/>
    <w:rsid w:val="005A4D72"/>
    <w:rsid w:val="005A69E0"/>
    <w:rsid w:val="005B55A1"/>
    <w:rsid w:val="005B7407"/>
    <w:rsid w:val="005C34F0"/>
    <w:rsid w:val="005D007D"/>
    <w:rsid w:val="005D0161"/>
    <w:rsid w:val="005D3A3B"/>
    <w:rsid w:val="005F0A3B"/>
    <w:rsid w:val="006115E5"/>
    <w:rsid w:val="0062389D"/>
    <w:rsid w:val="00633BFE"/>
    <w:rsid w:val="00635205"/>
    <w:rsid w:val="00637F8A"/>
    <w:rsid w:val="0064547A"/>
    <w:rsid w:val="006567CA"/>
    <w:rsid w:val="00666C9F"/>
    <w:rsid w:val="0068227C"/>
    <w:rsid w:val="0068275F"/>
    <w:rsid w:val="00693E49"/>
    <w:rsid w:val="006A5157"/>
    <w:rsid w:val="006A6078"/>
    <w:rsid w:val="006C163B"/>
    <w:rsid w:val="006D1FDA"/>
    <w:rsid w:val="00703D52"/>
    <w:rsid w:val="00707EE3"/>
    <w:rsid w:val="007116E4"/>
    <w:rsid w:val="00720945"/>
    <w:rsid w:val="00721486"/>
    <w:rsid w:val="00742E2E"/>
    <w:rsid w:val="0074622C"/>
    <w:rsid w:val="007532C5"/>
    <w:rsid w:val="007559B5"/>
    <w:rsid w:val="00760DB4"/>
    <w:rsid w:val="00767EDD"/>
    <w:rsid w:val="00784B74"/>
    <w:rsid w:val="00786EAF"/>
    <w:rsid w:val="0079544B"/>
    <w:rsid w:val="007B47C8"/>
    <w:rsid w:val="007C50B7"/>
    <w:rsid w:val="007C7B22"/>
    <w:rsid w:val="007D54BD"/>
    <w:rsid w:val="007E20BB"/>
    <w:rsid w:val="007F5F1A"/>
    <w:rsid w:val="008004BE"/>
    <w:rsid w:val="00802AE6"/>
    <w:rsid w:val="008148AB"/>
    <w:rsid w:val="008153F8"/>
    <w:rsid w:val="00816711"/>
    <w:rsid w:val="008545F8"/>
    <w:rsid w:val="008644F3"/>
    <w:rsid w:val="00871C0E"/>
    <w:rsid w:val="008A040C"/>
    <w:rsid w:val="008A0D5A"/>
    <w:rsid w:val="008B51B0"/>
    <w:rsid w:val="008C0597"/>
    <w:rsid w:val="008C23DB"/>
    <w:rsid w:val="008C7F25"/>
    <w:rsid w:val="00924BD2"/>
    <w:rsid w:val="009500C8"/>
    <w:rsid w:val="0095062F"/>
    <w:rsid w:val="00951E7B"/>
    <w:rsid w:val="009523C8"/>
    <w:rsid w:val="00956B22"/>
    <w:rsid w:val="00963FEB"/>
    <w:rsid w:val="009641F8"/>
    <w:rsid w:val="009907DC"/>
    <w:rsid w:val="009A7BDF"/>
    <w:rsid w:val="009B2441"/>
    <w:rsid w:val="009B25F6"/>
    <w:rsid w:val="009B30FE"/>
    <w:rsid w:val="009B3B22"/>
    <w:rsid w:val="009B628A"/>
    <w:rsid w:val="009C4B6D"/>
    <w:rsid w:val="009E1441"/>
    <w:rsid w:val="009E5AF3"/>
    <w:rsid w:val="009F4DC4"/>
    <w:rsid w:val="009F66DE"/>
    <w:rsid w:val="00A074F3"/>
    <w:rsid w:val="00A4247E"/>
    <w:rsid w:val="00A55C5E"/>
    <w:rsid w:val="00A60604"/>
    <w:rsid w:val="00A6088B"/>
    <w:rsid w:val="00A63365"/>
    <w:rsid w:val="00A70336"/>
    <w:rsid w:val="00A72C1A"/>
    <w:rsid w:val="00A82CA7"/>
    <w:rsid w:val="00A84FB8"/>
    <w:rsid w:val="00A95BE6"/>
    <w:rsid w:val="00A97438"/>
    <w:rsid w:val="00AA4195"/>
    <w:rsid w:val="00AC7E84"/>
    <w:rsid w:val="00AD5B68"/>
    <w:rsid w:val="00AE7FD9"/>
    <w:rsid w:val="00B25909"/>
    <w:rsid w:val="00B31F4A"/>
    <w:rsid w:val="00B55226"/>
    <w:rsid w:val="00B67195"/>
    <w:rsid w:val="00B74EEB"/>
    <w:rsid w:val="00B841A6"/>
    <w:rsid w:val="00B940D0"/>
    <w:rsid w:val="00BA3D58"/>
    <w:rsid w:val="00BD742E"/>
    <w:rsid w:val="00BE6C88"/>
    <w:rsid w:val="00BF5947"/>
    <w:rsid w:val="00C57146"/>
    <w:rsid w:val="00C77D62"/>
    <w:rsid w:val="00C8034E"/>
    <w:rsid w:val="00C965C1"/>
    <w:rsid w:val="00CA6193"/>
    <w:rsid w:val="00CA6507"/>
    <w:rsid w:val="00CB1DFE"/>
    <w:rsid w:val="00CB422F"/>
    <w:rsid w:val="00CC69B5"/>
    <w:rsid w:val="00CD180C"/>
    <w:rsid w:val="00CD6B15"/>
    <w:rsid w:val="00CF796B"/>
    <w:rsid w:val="00D145C8"/>
    <w:rsid w:val="00D31103"/>
    <w:rsid w:val="00D360C9"/>
    <w:rsid w:val="00D47B44"/>
    <w:rsid w:val="00D54012"/>
    <w:rsid w:val="00D70B47"/>
    <w:rsid w:val="00D84289"/>
    <w:rsid w:val="00D872EE"/>
    <w:rsid w:val="00DA0F29"/>
    <w:rsid w:val="00DA59D2"/>
    <w:rsid w:val="00DB6BAF"/>
    <w:rsid w:val="00DC1B96"/>
    <w:rsid w:val="00DD3AAF"/>
    <w:rsid w:val="00E115E1"/>
    <w:rsid w:val="00E36409"/>
    <w:rsid w:val="00E40679"/>
    <w:rsid w:val="00E51C84"/>
    <w:rsid w:val="00E57113"/>
    <w:rsid w:val="00E61AB7"/>
    <w:rsid w:val="00E7084C"/>
    <w:rsid w:val="00E75EE8"/>
    <w:rsid w:val="00E77615"/>
    <w:rsid w:val="00E838C4"/>
    <w:rsid w:val="00E83C74"/>
    <w:rsid w:val="00E86F03"/>
    <w:rsid w:val="00E90CDB"/>
    <w:rsid w:val="00E9372D"/>
    <w:rsid w:val="00E9384A"/>
    <w:rsid w:val="00E97F61"/>
    <w:rsid w:val="00EA2237"/>
    <w:rsid w:val="00EA43D9"/>
    <w:rsid w:val="00EB46F8"/>
    <w:rsid w:val="00EB5D1B"/>
    <w:rsid w:val="00ED43A5"/>
    <w:rsid w:val="00EE580D"/>
    <w:rsid w:val="00F15CC7"/>
    <w:rsid w:val="00F22865"/>
    <w:rsid w:val="00F23B50"/>
    <w:rsid w:val="00F36C76"/>
    <w:rsid w:val="00F52661"/>
    <w:rsid w:val="00F52B34"/>
    <w:rsid w:val="00F535A6"/>
    <w:rsid w:val="00F56053"/>
    <w:rsid w:val="00F601B2"/>
    <w:rsid w:val="00F72FEC"/>
    <w:rsid w:val="00F80457"/>
    <w:rsid w:val="00FC1CB3"/>
    <w:rsid w:val="00FC29B1"/>
    <w:rsid w:val="00FC3D95"/>
    <w:rsid w:val="00FD161F"/>
    <w:rsid w:val="00FD4E39"/>
    <w:rsid w:val="00FE08FC"/>
    <w:rsid w:val="00FE2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24D"/>
    <w:pPr>
      <w:widowControl w:val="0"/>
    </w:pPr>
    <w:rPr>
      <w:rFonts w:ascii="Calibri"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40424D"/>
    <w:pPr>
      <w:ind w:leftChars="200" w:left="480"/>
    </w:pPr>
  </w:style>
  <w:style w:type="paragraph" w:styleId="a3">
    <w:name w:val="header"/>
    <w:basedOn w:val="a"/>
    <w:link w:val="a4"/>
    <w:rsid w:val="008644F3"/>
    <w:pPr>
      <w:tabs>
        <w:tab w:val="center" w:pos="4153"/>
        <w:tab w:val="right" w:pos="8306"/>
      </w:tabs>
      <w:snapToGrid w:val="0"/>
    </w:pPr>
    <w:rPr>
      <w:sz w:val="20"/>
      <w:szCs w:val="20"/>
    </w:rPr>
  </w:style>
  <w:style w:type="character" w:customStyle="1" w:styleId="a4">
    <w:name w:val="頁首 字元"/>
    <w:basedOn w:val="a0"/>
    <w:link w:val="a3"/>
    <w:rsid w:val="008644F3"/>
    <w:rPr>
      <w:rFonts w:ascii="Calibri" w:hAnsi="Calibri" w:cs="Calibri"/>
      <w:kern w:val="2"/>
    </w:rPr>
  </w:style>
  <w:style w:type="paragraph" w:styleId="a5">
    <w:name w:val="footer"/>
    <w:basedOn w:val="a"/>
    <w:link w:val="a6"/>
    <w:rsid w:val="008644F3"/>
    <w:pPr>
      <w:tabs>
        <w:tab w:val="center" w:pos="4153"/>
        <w:tab w:val="right" w:pos="8306"/>
      </w:tabs>
      <w:snapToGrid w:val="0"/>
    </w:pPr>
    <w:rPr>
      <w:sz w:val="20"/>
      <w:szCs w:val="20"/>
    </w:rPr>
  </w:style>
  <w:style w:type="character" w:customStyle="1" w:styleId="a6">
    <w:name w:val="頁尾 字元"/>
    <w:basedOn w:val="a0"/>
    <w:link w:val="a5"/>
    <w:rsid w:val="008644F3"/>
    <w:rPr>
      <w:rFonts w:ascii="Calibri" w:hAnsi="Calibri" w:cs="Calibri"/>
      <w:kern w:val="2"/>
    </w:rPr>
  </w:style>
  <w:style w:type="paragraph" w:styleId="a7">
    <w:name w:val="List Paragraph"/>
    <w:basedOn w:val="a"/>
    <w:uiPriority w:val="34"/>
    <w:qFormat/>
    <w:rsid w:val="008644F3"/>
    <w:pPr>
      <w:ind w:leftChars="200" w:left="480"/>
    </w:pPr>
  </w:style>
  <w:style w:type="character" w:styleId="a8">
    <w:name w:val="page number"/>
    <w:basedOn w:val="a0"/>
    <w:rsid w:val="0068275F"/>
  </w:style>
  <w:style w:type="character" w:styleId="a9">
    <w:name w:val="line number"/>
    <w:basedOn w:val="a0"/>
    <w:rsid w:val="00CD6B15"/>
  </w:style>
  <w:style w:type="paragraph" w:styleId="HTML">
    <w:name w:val="HTML Preformatted"/>
    <w:basedOn w:val="a"/>
    <w:link w:val="HTML0"/>
    <w:unhideWhenUsed/>
    <w:rsid w:val="00E36409"/>
    <w:rPr>
      <w:rFonts w:ascii="Courier New" w:hAnsi="Courier New" w:cs="Courier New"/>
      <w:sz w:val="20"/>
      <w:szCs w:val="20"/>
    </w:rPr>
  </w:style>
  <w:style w:type="character" w:customStyle="1" w:styleId="HTML0">
    <w:name w:val="HTML 預設格式 字元"/>
    <w:basedOn w:val="a0"/>
    <w:link w:val="HTML"/>
    <w:rsid w:val="00E36409"/>
    <w:rPr>
      <w:rFonts w:ascii="Courier New" w:eastAsia="新細明體" w:hAnsi="Courier New" w:cs="Courier New"/>
      <w:kern w:val="2"/>
      <w:lang w:val="en-US" w:eastAsia="zh-TW" w:bidi="ar-SA"/>
    </w:rPr>
  </w:style>
  <w:style w:type="character" w:customStyle="1" w:styleId="dialogtext1">
    <w:name w:val="dialog_text1"/>
    <w:basedOn w:val="a0"/>
    <w:rsid w:val="00F52B34"/>
    <w:rPr>
      <w:rFonts w:ascii="sөũ" w:hAnsi="sөũ" w:hint="default"/>
      <w:color w:val="000000"/>
      <w:sz w:val="16"/>
      <w:szCs w:val="16"/>
    </w:rPr>
  </w:style>
  <w:style w:type="paragraph" w:styleId="aa">
    <w:name w:val="Balloon Text"/>
    <w:basedOn w:val="a"/>
    <w:link w:val="ab"/>
    <w:rsid w:val="004C658E"/>
    <w:rPr>
      <w:rFonts w:asciiTheme="majorHAnsi" w:eastAsiaTheme="majorEastAsia" w:hAnsiTheme="majorHAnsi" w:cstheme="majorBidi"/>
      <w:sz w:val="18"/>
      <w:szCs w:val="18"/>
    </w:rPr>
  </w:style>
  <w:style w:type="character" w:customStyle="1" w:styleId="ab">
    <w:name w:val="註解方塊文字 字元"/>
    <w:basedOn w:val="a0"/>
    <w:link w:val="aa"/>
    <w:rsid w:val="004C658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24D"/>
    <w:pPr>
      <w:widowControl w:val="0"/>
    </w:pPr>
    <w:rPr>
      <w:rFonts w:ascii="Calibri"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40424D"/>
    <w:pPr>
      <w:ind w:leftChars="200" w:left="480"/>
    </w:pPr>
  </w:style>
  <w:style w:type="paragraph" w:styleId="a3">
    <w:name w:val="header"/>
    <w:basedOn w:val="a"/>
    <w:link w:val="a4"/>
    <w:rsid w:val="008644F3"/>
    <w:pPr>
      <w:tabs>
        <w:tab w:val="center" w:pos="4153"/>
        <w:tab w:val="right" w:pos="8306"/>
      </w:tabs>
      <w:snapToGrid w:val="0"/>
    </w:pPr>
    <w:rPr>
      <w:sz w:val="20"/>
      <w:szCs w:val="20"/>
    </w:rPr>
  </w:style>
  <w:style w:type="character" w:customStyle="1" w:styleId="a4">
    <w:name w:val="頁首 字元"/>
    <w:basedOn w:val="a0"/>
    <w:link w:val="a3"/>
    <w:rsid w:val="008644F3"/>
    <w:rPr>
      <w:rFonts w:ascii="Calibri" w:hAnsi="Calibri" w:cs="Calibri"/>
      <w:kern w:val="2"/>
    </w:rPr>
  </w:style>
  <w:style w:type="paragraph" w:styleId="a5">
    <w:name w:val="footer"/>
    <w:basedOn w:val="a"/>
    <w:link w:val="a6"/>
    <w:rsid w:val="008644F3"/>
    <w:pPr>
      <w:tabs>
        <w:tab w:val="center" w:pos="4153"/>
        <w:tab w:val="right" w:pos="8306"/>
      </w:tabs>
      <w:snapToGrid w:val="0"/>
    </w:pPr>
    <w:rPr>
      <w:sz w:val="20"/>
      <w:szCs w:val="20"/>
    </w:rPr>
  </w:style>
  <w:style w:type="character" w:customStyle="1" w:styleId="a6">
    <w:name w:val="頁尾 字元"/>
    <w:basedOn w:val="a0"/>
    <w:link w:val="a5"/>
    <w:rsid w:val="008644F3"/>
    <w:rPr>
      <w:rFonts w:ascii="Calibri" w:hAnsi="Calibri" w:cs="Calibri"/>
      <w:kern w:val="2"/>
    </w:rPr>
  </w:style>
  <w:style w:type="paragraph" w:styleId="a7">
    <w:name w:val="List Paragraph"/>
    <w:basedOn w:val="a"/>
    <w:uiPriority w:val="34"/>
    <w:qFormat/>
    <w:rsid w:val="008644F3"/>
    <w:pPr>
      <w:ind w:leftChars="200" w:left="480"/>
    </w:pPr>
  </w:style>
  <w:style w:type="character" w:styleId="a8">
    <w:name w:val="page number"/>
    <w:basedOn w:val="a0"/>
    <w:rsid w:val="0068275F"/>
  </w:style>
  <w:style w:type="character" w:styleId="a9">
    <w:name w:val="line number"/>
    <w:basedOn w:val="a0"/>
    <w:rsid w:val="00CD6B15"/>
  </w:style>
  <w:style w:type="paragraph" w:styleId="HTML">
    <w:name w:val="HTML Preformatted"/>
    <w:basedOn w:val="a"/>
    <w:link w:val="HTML0"/>
    <w:unhideWhenUsed/>
    <w:rsid w:val="00E36409"/>
    <w:rPr>
      <w:rFonts w:ascii="Courier New" w:hAnsi="Courier New" w:cs="Courier New"/>
      <w:sz w:val="20"/>
      <w:szCs w:val="20"/>
    </w:rPr>
  </w:style>
  <w:style w:type="character" w:customStyle="1" w:styleId="HTML0">
    <w:name w:val="HTML 預設格式 字元"/>
    <w:basedOn w:val="a0"/>
    <w:link w:val="HTML"/>
    <w:rsid w:val="00E36409"/>
    <w:rPr>
      <w:rFonts w:ascii="Courier New" w:eastAsia="新細明體" w:hAnsi="Courier New" w:cs="Courier New"/>
      <w:kern w:val="2"/>
      <w:lang w:val="en-US" w:eastAsia="zh-TW" w:bidi="ar-SA"/>
    </w:rPr>
  </w:style>
  <w:style w:type="character" w:customStyle="1" w:styleId="dialogtext1">
    <w:name w:val="dialog_text1"/>
    <w:basedOn w:val="a0"/>
    <w:rsid w:val="00F52B34"/>
    <w:rPr>
      <w:rFonts w:ascii="sөũ" w:hAnsi="sөũ" w:hint="default"/>
      <w:color w:val="000000"/>
      <w:sz w:val="16"/>
      <w:szCs w:val="16"/>
    </w:rPr>
  </w:style>
  <w:style w:type="paragraph" w:styleId="aa">
    <w:name w:val="Balloon Text"/>
    <w:basedOn w:val="a"/>
    <w:link w:val="ab"/>
    <w:rsid w:val="004C658E"/>
    <w:rPr>
      <w:rFonts w:asciiTheme="majorHAnsi" w:eastAsiaTheme="majorEastAsia" w:hAnsiTheme="majorHAnsi" w:cstheme="majorBidi"/>
      <w:sz w:val="18"/>
      <w:szCs w:val="18"/>
    </w:rPr>
  </w:style>
  <w:style w:type="character" w:customStyle="1" w:styleId="ab">
    <w:name w:val="註解方塊文字 字元"/>
    <w:basedOn w:val="a0"/>
    <w:link w:val="aa"/>
    <w:rsid w:val="004C65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3745-5253-4444-AEB0-725BD5DB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858</Words>
  <Characters>4894</Characters>
  <Application>Microsoft Office Word</Application>
  <DocSecurity>0</DocSecurity>
  <Lines>40</Lines>
  <Paragraphs>11</Paragraphs>
  <ScaleCrop>false</ScaleCrop>
  <Company>FDZone</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臺中市交通影響評估審查作業要點草案總說明</dc:title>
  <dc:creator>taichung</dc:creator>
  <cp:lastModifiedBy>曾文祥</cp:lastModifiedBy>
  <cp:revision>2</cp:revision>
  <cp:lastPrinted>2015-12-09T02:57:00Z</cp:lastPrinted>
  <dcterms:created xsi:type="dcterms:W3CDTF">2020-12-21T02:38:00Z</dcterms:created>
  <dcterms:modified xsi:type="dcterms:W3CDTF">2020-12-21T02:38:00Z</dcterms:modified>
</cp:coreProperties>
</file>